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pPr>
        <w:spacing w:line="240" w:lineRule="auto"/>
        <w:jc w:val="center"/>
        <w:rPr>
          <w:rFonts w:asciiTheme="majorBidi" w:hAnsiTheme="majorBidi" w:cstheme="majorBidi"/>
          <w:b/>
          <w:bCs w:val="0"/>
          <w:i w:val="0"/>
          <w:caps w:val="0"/>
          <w:sz w:val="32"/>
          <w:szCs w:val="32"/>
          <w:lang w:bidi="ar-EG"/>
        </w:rPr>
      </w:pPr>
      <w:r>
        <w:rPr>
          <w:rFonts w:asciiTheme="majorBidi" w:hAnsiTheme="majorBidi" w:cstheme="majorBidi"/>
          <w:b/>
          <w:bCs w:val="0"/>
          <w:i w:val="0"/>
          <w:caps w:val="0"/>
          <w:sz w:val="32"/>
          <w:szCs w:val="32"/>
          <w:lang w:bidi="ar-EG"/>
        </w:rPr>
        <w:t xml:space="preserve">Correlation between </w:t>
      </w:r>
      <w:r>
        <w:rPr>
          <w:rFonts w:asciiTheme="majorBidi" w:hAnsiTheme="majorBidi" w:cstheme="majorBidi"/>
          <w:b/>
          <w:bCs w:val="0"/>
          <w:i w:val="0"/>
          <w:caps w:val="0"/>
          <w:sz w:val="32"/>
          <w:szCs w:val="32"/>
          <w:lang w:val="en-US" w:bidi="ar-EG"/>
        </w:rPr>
        <w:t>serum</w:t>
      </w:r>
      <w:bookmarkStart w:id="0" w:name="_GoBack"/>
      <w:bookmarkEnd w:id="0"/>
      <w:r>
        <w:rPr>
          <w:rFonts w:asciiTheme="majorBidi" w:hAnsiTheme="majorBidi" w:cstheme="majorBidi"/>
          <w:b/>
          <w:bCs w:val="0"/>
          <w:i w:val="0"/>
          <w:caps w:val="0"/>
          <w:sz w:val="32"/>
          <w:szCs w:val="32"/>
          <w:lang w:val="en-US" w:bidi="ar-EG"/>
        </w:rPr>
        <w:t xml:space="preserve"> interleukin 6</w:t>
      </w:r>
      <w:r>
        <w:rPr>
          <w:rFonts w:asciiTheme="majorBidi" w:hAnsiTheme="majorBidi" w:cstheme="majorBidi"/>
          <w:b/>
          <w:bCs w:val="0"/>
          <w:i w:val="0"/>
          <w:caps w:val="0"/>
          <w:sz w:val="32"/>
          <w:szCs w:val="32"/>
          <w:lang w:bidi="ar-EG"/>
        </w:rPr>
        <w:t xml:space="preserve">, </w:t>
      </w:r>
      <w:r>
        <w:rPr>
          <w:rFonts w:asciiTheme="majorBidi" w:hAnsiTheme="majorBidi" w:cstheme="majorBidi"/>
          <w:b/>
          <w:bCs w:val="0"/>
          <w:i w:val="0"/>
          <w:caps w:val="0"/>
          <w:sz w:val="32"/>
          <w:szCs w:val="32"/>
          <w:lang w:val="en-US" w:bidi="ar-EG"/>
        </w:rPr>
        <w:t xml:space="preserve">elevated blood glucose level </w:t>
      </w:r>
      <w:r>
        <w:rPr>
          <w:rFonts w:asciiTheme="majorBidi" w:hAnsiTheme="majorBidi" w:cstheme="majorBidi"/>
          <w:b/>
          <w:bCs w:val="0"/>
          <w:i w:val="0"/>
          <w:caps w:val="0"/>
          <w:sz w:val="32"/>
          <w:szCs w:val="32"/>
          <w:lang w:bidi="ar-EG"/>
        </w:rPr>
        <w:t>and glucose control in septic patients</w:t>
      </w:r>
    </w:p>
    <w:p>
      <w:pPr>
        <w:pStyle w:val="Heading4"/>
        <w:shd w:val="clear" w:color="auto" w:fill="FFFFFF"/>
        <w:bidi w:val="0"/>
        <w:spacing w:before="0" w:line="240" w:lineRule="auto"/>
        <w:ind w:right="60"/>
        <w:jc w:val="left"/>
        <w:rPr>
          <w:rFonts w:asciiTheme="majorBidi" w:hAnsiTheme="majorBidi"/>
          <w:b w:val="0"/>
          <w:i w:val="0"/>
          <w:caps w:val="0"/>
          <w:color w:val="auto"/>
          <w:sz w:val="28"/>
          <w:szCs w:val="28"/>
          <w:lang w:bidi="ar-EG"/>
        </w:rPr>
      </w:pPr>
      <w:r>
        <w:rPr>
          <w:rFonts w:asciiTheme="majorBidi" w:hAnsiTheme="majorBidi"/>
          <w:b w:val="0"/>
          <w:i w:val="0"/>
          <w:caps w:val="0"/>
          <w:color w:val="auto"/>
          <w:sz w:val="28"/>
          <w:szCs w:val="28"/>
          <w:lang w:bidi="ar-EG"/>
        </w:rPr>
        <w:t>Hanan Zaghla, M.D</w:t>
      </w:r>
      <w:r>
        <w:rPr>
          <w:rFonts w:asciiTheme="majorBidi" w:hAnsiTheme="majorBidi"/>
          <w:b w:val="0"/>
          <w:i w:val="0"/>
          <w:caps w:val="0"/>
          <w:color w:val="auto"/>
          <w:sz w:val="28"/>
          <w:szCs w:val="28"/>
          <w:lang w:val="en-US" w:bidi="ar-EG"/>
        </w:rPr>
        <w:t>, faculty of medicine, Cairo University</w:t>
      </w:r>
      <w:r>
        <w:rPr>
          <w:rFonts w:asciiTheme="majorBidi" w:hAnsiTheme="majorBidi"/>
          <w:b w:val="0"/>
          <w:i w:val="0"/>
          <w:caps w:val="0"/>
          <w:color w:val="auto"/>
          <w:sz w:val="28"/>
          <w:szCs w:val="28"/>
          <w:lang w:bidi="ar-EG"/>
        </w:rPr>
        <w:t>,</w:t>
      </w:r>
      <w:r>
        <w:rPr>
          <w:rFonts w:asciiTheme="majorBidi" w:hAnsiTheme="majorBidi"/>
          <w:b w:val="0"/>
          <w:i w:val="0"/>
          <w:caps w:val="0"/>
          <w:color w:val="auto"/>
          <w:sz w:val="28"/>
          <w:szCs w:val="28"/>
          <w:lang w:val="en-US" w:bidi="ar-EG"/>
        </w:rPr>
        <w:t xml:space="preserve"> </w:t>
      </w:r>
      <w:r>
        <w:rPr>
          <w:rFonts w:asciiTheme="majorBidi" w:hAnsiTheme="majorBidi"/>
          <w:b w:val="0"/>
          <w:i w:val="0"/>
          <w:caps w:val="0"/>
          <w:color w:val="auto"/>
          <w:sz w:val="28"/>
          <w:szCs w:val="28"/>
          <w:lang w:bidi="ar-EG"/>
        </w:rPr>
        <w:t>Kamel</w:t>
      </w:r>
      <w:r>
        <w:rPr>
          <w:rFonts w:asciiTheme="majorBidi" w:hAnsiTheme="majorBidi"/>
          <w:b w:val="0"/>
          <w:i w:val="0"/>
          <w:caps w:val="0"/>
          <w:color w:val="auto"/>
          <w:sz w:val="28"/>
          <w:szCs w:val="28"/>
          <w:lang w:val="en-US" w:bidi="ar-EG"/>
        </w:rPr>
        <w:t xml:space="preserve"> </w:t>
      </w:r>
      <w:r>
        <w:rPr>
          <w:rFonts w:asciiTheme="majorBidi" w:hAnsiTheme="majorBidi"/>
          <w:b w:val="0"/>
          <w:i w:val="0"/>
          <w:caps w:val="0"/>
          <w:color w:val="auto"/>
          <w:sz w:val="28"/>
          <w:szCs w:val="28"/>
          <w:lang w:bidi="ar-EG"/>
        </w:rPr>
        <w:t>Abdelaziz</w:t>
      </w:r>
      <w:r>
        <w:rPr>
          <w:rFonts w:asciiTheme="majorBidi" w:hAnsiTheme="majorBidi"/>
          <w:b w:val="0"/>
          <w:i w:val="0"/>
          <w:caps w:val="0"/>
          <w:color w:val="auto"/>
          <w:sz w:val="28"/>
          <w:szCs w:val="28"/>
          <w:lang w:val="en-US" w:bidi="ar-EG"/>
        </w:rPr>
        <w:t>,</w:t>
      </w:r>
      <w:r>
        <w:rPr>
          <w:rFonts w:asciiTheme="majorBidi" w:hAnsiTheme="majorBidi"/>
          <w:b w:val="0"/>
          <w:i w:val="0"/>
          <w:caps w:val="0"/>
          <w:color w:val="auto"/>
          <w:sz w:val="28"/>
          <w:szCs w:val="28"/>
          <w:lang w:bidi="ar-EG"/>
        </w:rPr>
        <w:t xml:space="preserve"> M.D</w:t>
      </w:r>
      <w:r>
        <w:rPr>
          <w:rFonts w:asciiTheme="majorBidi" w:hAnsiTheme="majorBidi"/>
          <w:b w:val="0"/>
          <w:i w:val="0"/>
          <w:caps w:val="0"/>
          <w:color w:val="auto"/>
          <w:sz w:val="28"/>
          <w:szCs w:val="28"/>
          <w:lang w:val="en-US" w:bidi="ar-EG"/>
        </w:rPr>
        <w:t>, faculty of medicine, Cairo University</w:t>
      </w:r>
      <w:r>
        <w:rPr>
          <w:rFonts w:asciiTheme="majorBidi" w:hAnsiTheme="majorBidi"/>
          <w:b w:val="0"/>
          <w:i w:val="0"/>
          <w:caps w:val="0"/>
          <w:color w:val="auto"/>
          <w:sz w:val="28"/>
          <w:szCs w:val="28"/>
          <w:lang w:bidi="ar-EG"/>
        </w:rPr>
        <w:t>,</w:t>
      </w:r>
      <w:r>
        <w:rPr>
          <w:rFonts w:asciiTheme="majorBidi" w:hAnsiTheme="majorBidi"/>
          <w:b w:val="0"/>
          <w:i w:val="0"/>
          <w:caps w:val="0"/>
          <w:color w:val="auto"/>
          <w:sz w:val="28"/>
          <w:szCs w:val="28"/>
          <w:lang w:val="en-US" w:bidi="ar-EG"/>
        </w:rPr>
        <w:t xml:space="preserve"> </w:t>
      </w:r>
      <w:r>
        <w:rPr>
          <w:rFonts w:asciiTheme="majorBidi" w:hAnsiTheme="majorBidi"/>
          <w:b w:val="0"/>
          <w:i w:val="0"/>
          <w:caps w:val="0"/>
          <w:color w:val="auto"/>
          <w:sz w:val="28"/>
          <w:szCs w:val="28"/>
          <w:lang w:bidi="ar-EG"/>
        </w:rPr>
        <w:t>Saly Salah, M.D,</w:t>
      </w:r>
      <w:r>
        <w:rPr>
          <w:rFonts w:asciiTheme="majorBidi" w:hAnsiTheme="majorBidi"/>
          <w:b w:val="0"/>
          <w:i w:val="0"/>
          <w:caps w:val="0"/>
          <w:color w:val="auto"/>
          <w:sz w:val="28"/>
          <w:szCs w:val="28"/>
          <w:lang w:val="en-US" w:bidi="ar-EG"/>
        </w:rPr>
        <w:t xml:space="preserve"> faculty of medicine, Cairo University and </w:t>
      </w:r>
      <w:r>
        <w:rPr>
          <w:rFonts w:asciiTheme="majorBidi" w:hAnsiTheme="majorBidi"/>
          <w:b w:val="0"/>
          <w:i w:val="0"/>
          <w:caps w:val="0"/>
          <w:color w:val="auto"/>
          <w:sz w:val="28"/>
          <w:szCs w:val="28"/>
          <w:lang w:bidi="ar-EG"/>
        </w:rPr>
        <w:t>EhabEldin Zaghlol M, B, B, CH
</w:t>
      </w:r>
    </w:p>
    <w:p>
      <w:pPr>
        <w:tabs>
          <w:tab w:val="left" w:pos="1286"/>
        </w:tabs>
        <w:bidi w:val="0"/>
        <w:spacing w:line="240" w:lineRule="auto"/>
        <w:jc w:val="left"/>
        <w:rPr>
          <w:rFonts w:asciiTheme="majorBidi" w:hAnsiTheme="majorBidi" w:cstheme="majorBidi"/>
          <w:b w:val="0"/>
          <w:bCs/>
          <w:i w:val="0"/>
          <w:caps w:val="0"/>
          <w:sz w:val="28"/>
          <w:szCs w:val="28"/>
          <w:lang w:bidi="ar-EG"/>
        </w:rPr>
      </w:pPr>
      <w:r>
        <w:rPr>
          <w:rFonts w:asciiTheme="majorBidi" w:hAnsiTheme="majorBidi" w:cstheme="majorBidi"/>
          <w:b w:val="0"/>
          <w:bCs/>
          <w:i w:val="0"/>
          <w:caps w:val="0"/>
          <w:sz w:val="28"/>
          <w:szCs w:val="28"/>
          <w:lang w:bidi="ar-EG"/>
        </w:rPr>
        <w:t>ABSTRACT
</w:t>
      </w:r>
    </w:p>
    <w:p>
      <w:pPr>
        <w:pStyle w:val="Heading4"/>
        <w:shd w:val="clear" w:color="auto" w:fill="FFFFFF"/>
        <w:bidi w:val="0"/>
        <w:spacing w:before="0" w:line="240" w:lineRule="auto"/>
        <w:ind w:right="60"/>
        <w:jc w:val="left"/>
        <w:rPr>
          <w:rFonts w:eastAsia="Times New Roman" w:asciiTheme="majorBidi" w:hAnsiTheme="majorBidi"/>
          <w:b w:val="0"/>
          <w:bCs w:val="0"/>
          <w:i w:val="0"/>
          <w:iCs w:val="0"/>
          <w:caps w:val="0"/>
          <w:color w:val="auto"/>
          <w:sz w:val="28"/>
          <w:szCs w:val="28"/>
          <w:rtl/>
        </w:rPr>
      </w:pPr>
      <w:r>
        <w:rPr>
          <w:rFonts w:eastAsia="Times New Roman" w:asciiTheme="majorBidi" w:hAnsiTheme="majorBidi"/>
          <w:b/>
          <w:bCs w:val="0"/>
          <w:i w:val="0"/>
          <w:iCs w:val="0"/>
          <w:caps w:val="0"/>
          <w:color w:val="auto"/>
          <w:sz w:val="28"/>
          <w:szCs w:val="28"/>
          <w:lang w:val="en-US"/>
        </w:rPr>
        <w:t>Introduction</w:t>
      </w:r>
      <w:r>
        <w:rPr>
          <w:rFonts w:eastAsia="Times New Roman" w:asciiTheme="majorBidi" w:hAnsiTheme="majorBidi"/>
          <w:b/>
          <w:bCs w:val="0"/>
          <w:i w:val="0"/>
          <w:iCs w:val="0"/>
          <w:caps w:val="0"/>
          <w:color w:val="auto"/>
          <w:sz w:val="28"/>
          <w:szCs w:val="28"/>
        </w:rPr>
        <w:t>:</w:t>
      </w:r>
      <w:r>
        <w:rPr>
          <w:rFonts w:asciiTheme="majorBidi" w:hAnsiTheme="majorBidi"/>
          <w:b/>
          <w:bCs w:val="0"/>
          <w:i w:val="0"/>
          <w:caps w:val="0"/>
          <w:color w:val="auto"/>
          <w:sz w:val="28"/>
          <w:szCs w:val="28"/>
          <w:lang w:bidi="ar-EG"/>
        </w:rPr>
        <w:t xml:space="preserve"> </w:t>
      </w:r>
      <w:r>
        <w:rPr>
          <w:rFonts w:asciiTheme="majorBidi" w:hAnsiTheme="majorBidi"/>
          <w:b w:val="0"/>
          <w:bCs w:val="0"/>
          <w:i w:val="0"/>
          <w:caps w:val="0"/>
          <w:color w:val="auto"/>
          <w:sz w:val="28"/>
          <w:szCs w:val="28"/>
          <w:lang w:bidi="ar-EG"/>
        </w:rPr>
        <w:t xml:space="preserve">Patients who are critically ill </w:t>
      </w:r>
      <w:r>
        <w:rPr>
          <w:rFonts w:asciiTheme="majorBidi" w:hAnsiTheme="majorBidi"/>
          <w:b w:val="0"/>
          <w:bCs w:val="0"/>
          <w:i w:val="0"/>
          <w:caps w:val="0"/>
          <w:color w:val="auto"/>
          <w:sz w:val="28"/>
          <w:szCs w:val="28"/>
          <w:lang w:val="en-US" w:bidi="ar-EG"/>
        </w:rPr>
        <w:t>usually have</w:t>
      </w:r>
      <w:r>
        <w:rPr>
          <w:rFonts w:asciiTheme="majorBidi" w:hAnsiTheme="majorBidi"/>
          <w:b w:val="0"/>
          <w:bCs w:val="0"/>
          <w:i w:val="0"/>
          <w:caps w:val="0"/>
          <w:color w:val="auto"/>
          <w:sz w:val="28"/>
          <w:szCs w:val="28"/>
          <w:lang w:bidi="ar-EG"/>
        </w:rPr>
        <w:t xml:space="preserve"> insulin resistance and hyperglycemia, a condition that has been termed Stress Hyperglycemia</w:t>
      </w:r>
      <w:r>
        <w:rPr>
          <w:rFonts w:asciiTheme="majorBidi" w:hAnsiTheme="majorBidi"/>
          <w:b w:val="0"/>
          <w:bCs w:val="0"/>
          <w:i w:val="0"/>
          <w:caps w:val="0"/>
          <w:color w:val="auto"/>
          <w:sz w:val="28"/>
          <w:szCs w:val="28"/>
          <w:lang w:val="en-US" w:bidi="ar-EG"/>
        </w:rPr>
        <w:t xml:space="preserve"> which may be associated with malfunctioning immune system affecting the outcome of critically ill patients suffering from sepsis</w:t>
      </w:r>
      <w:r>
        <w:rPr>
          <w:rFonts w:asciiTheme="majorBidi" w:hAnsiTheme="majorBidi"/>
          <w:b w:val="0"/>
          <w:bCs w:val="0"/>
          <w:i w:val="0"/>
          <w:caps w:val="0"/>
          <w:color w:val="auto"/>
          <w:sz w:val="28"/>
          <w:szCs w:val="28"/>
          <w:lang w:bidi="ar-EG"/>
        </w:rPr>
        <w:t xml:space="preserve">. </w:t>
      </w:r>
    </w:p>
    <w:p>
      <w:pPr>
        <w:spacing w:line="240" w:lineRule="auto"/>
        <w:jc w:val="left"/>
        <w:rPr>
          <w:rFonts w:asciiTheme="majorBidi" w:hAnsiTheme="majorBidi" w:cstheme="majorBidi"/>
          <w:b w:val="0"/>
          <w:bCs/>
          <w:i w:val="0"/>
          <w:caps w:val="0"/>
          <w:sz w:val="28"/>
          <w:szCs w:val="28"/>
          <w:rtl/>
          <w:lang w:bidi="ar-EG"/>
        </w:rPr>
      </w:pPr>
      <w:r>
        <w:rPr>
          <w:rFonts w:eastAsia="Arial Unicode MS" w:asciiTheme="majorBidi" w:hAnsiTheme="majorBidi" w:cstheme="majorBidi"/>
          <w:b/>
          <w:bCs/>
          <w:i w:val="0"/>
          <w:iCs/>
          <w:caps w:val="0"/>
          <w:color w:val="000000"/>
          <w:sz w:val="28"/>
          <w:szCs w:val="28"/>
          <w:u w:color="000000"/>
          <w:lang w:val="en-US"/>
        </w:rPr>
        <w:t>The a</w:t>
      </w:r>
      <w:r>
        <w:rPr>
          <w:rFonts w:eastAsia="Arial Unicode MS" w:asciiTheme="majorBidi" w:hAnsiTheme="majorBidi" w:cstheme="majorBidi"/>
          <w:b/>
          <w:bCs/>
          <w:i w:val="0"/>
          <w:iCs/>
          <w:caps w:val="0"/>
          <w:color w:val="000000"/>
          <w:sz w:val="28"/>
          <w:szCs w:val="28"/>
          <w:u w:color="000000"/>
        </w:rPr>
        <w:t>im of the work:</w:t>
      </w:r>
      <w:r>
        <w:rPr>
          <w:rFonts w:eastAsia="Arial Unicode MS" w:asciiTheme="majorBidi" w:hAnsiTheme="majorBidi" w:cstheme="majorBidi"/>
          <w:b w:val="0"/>
          <w:i w:val="0"/>
          <w:caps w:val="0"/>
          <w:color w:val="000000"/>
          <w:sz w:val="28"/>
          <w:szCs w:val="28"/>
          <w:u w:color="000000"/>
        </w:rPr>
        <w:t xml:space="preserve"> </w:t>
      </w:r>
      <w:r>
        <w:rPr>
          <w:rFonts w:asciiTheme="majorBidi" w:hAnsiTheme="majorBidi" w:cstheme="majorBidi"/>
          <w:b w:val="0"/>
          <w:i w:val="0"/>
          <w:caps w:val="0"/>
          <w:sz w:val="28"/>
          <w:szCs w:val="28"/>
        </w:rPr>
        <w:t>was to correlate the IL-6 level, hyperglycemia, and glucose control in septic patients</w:t>
      </w:r>
    </w:p>
    <w:p>
      <w:pPr>
        <w:spacing w:line="240" w:lineRule="auto"/>
        <w:jc w:val="left"/>
        <w:rPr>
          <w:rFonts w:eastAsia="Arial Unicode MS" w:asciiTheme="majorBidi" w:hAnsiTheme="majorBidi" w:cstheme="majorBidi"/>
          <w:b w:val="0"/>
          <w:i w:val="0"/>
          <w:caps w:val="0"/>
          <w:color w:val="000000"/>
          <w:sz w:val="28"/>
          <w:szCs w:val="28"/>
          <w:u w:color="000000"/>
          <w:rtl/>
          <w:lang w:bidi="ar-EG"/>
        </w:rPr>
      </w:pPr>
      <w:r>
        <w:rPr>
          <w:rFonts w:asciiTheme="majorBidi" w:hAnsiTheme="majorBidi" w:cstheme="majorBidi"/>
          <w:b w:val="0"/>
          <w:bCs/>
          <w:i w:val="0"/>
          <w:caps w:val="0"/>
          <w:sz w:val="28"/>
          <w:szCs w:val="28"/>
        </w:rPr>
        <w:t xml:space="preserve"> </w:t>
      </w:r>
      <w:r>
        <w:rPr>
          <w:rFonts w:asciiTheme="majorBidi" w:hAnsiTheme="majorBidi" w:cstheme="majorBidi"/>
          <w:b/>
          <w:bCs w:val="0"/>
          <w:i w:val="0"/>
          <w:caps w:val="0"/>
          <w:sz w:val="28"/>
          <w:szCs w:val="28"/>
        </w:rPr>
        <w:t>Subjects and methods:</w:t>
      </w:r>
      <w:r>
        <w:rPr>
          <w:rFonts w:asciiTheme="majorBidi" w:hAnsiTheme="majorBidi" w:cstheme="majorBidi"/>
          <w:b w:val="0"/>
          <w:i w:val="0"/>
          <w:caps w:val="0"/>
          <w:sz w:val="28"/>
          <w:szCs w:val="28"/>
        </w:rPr>
        <w:t xml:space="preserve"> the study included </w:t>
      </w:r>
      <w:r>
        <w:rPr>
          <w:rFonts w:asciiTheme="majorBidi" w:hAnsiTheme="majorBidi" w:cstheme="majorBidi"/>
          <w:b w:val="0"/>
          <w:i w:val="0"/>
          <w:caps w:val="0"/>
          <w:sz w:val="28"/>
          <w:szCs w:val="28"/>
          <w:lang w:val="en-US"/>
        </w:rPr>
        <w:t>120</w:t>
      </w:r>
      <w:r>
        <w:rPr>
          <w:rFonts w:asciiTheme="majorBidi" w:hAnsiTheme="majorBidi" w:cstheme="majorBidi"/>
          <w:b w:val="0"/>
          <w:i w:val="0"/>
          <w:caps w:val="0"/>
          <w:sz w:val="28"/>
          <w:szCs w:val="28"/>
        </w:rPr>
        <w:t xml:space="preserve">  patients diagnosed to have </w:t>
      </w:r>
      <w:r>
        <w:rPr>
          <w:rFonts w:asciiTheme="majorBidi" w:hAnsiTheme="majorBidi" w:cstheme="majorBidi"/>
          <w:b w:val="0"/>
          <w:i w:val="0"/>
          <w:caps w:val="0"/>
          <w:sz w:val="28"/>
          <w:szCs w:val="28"/>
          <w:lang w:val="en-US"/>
        </w:rPr>
        <w:t xml:space="preserve">sepsis </w:t>
      </w:r>
      <w:r>
        <w:rPr>
          <w:rFonts w:asciiTheme="majorBidi" w:hAnsiTheme="majorBidi" w:cstheme="majorBidi"/>
          <w:b w:val="0"/>
          <w:i w:val="0"/>
          <w:caps w:val="0"/>
          <w:sz w:val="28"/>
          <w:szCs w:val="28"/>
        </w:rPr>
        <w:t>and</w:t>
      </w:r>
      <w:r>
        <w:rPr>
          <w:rFonts w:asciiTheme="majorBidi" w:hAnsiTheme="majorBidi" w:cstheme="majorBidi"/>
          <w:b w:val="0"/>
          <w:i w:val="0"/>
          <w:caps w:val="0"/>
          <w:sz w:val="28"/>
          <w:szCs w:val="28"/>
          <w:lang w:val="en-US"/>
        </w:rPr>
        <w:t xml:space="preserve"> 4</w:t>
      </w:r>
      <w:r>
        <w:rPr>
          <w:rFonts w:asciiTheme="majorBidi" w:hAnsiTheme="majorBidi" w:cstheme="majorBidi"/>
          <w:b w:val="0"/>
          <w:i w:val="0"/>
          <w:caps w:val="0"/>
          <w:sz w:val="28"/>
          <w:szCs w:val="28"/>
        </w:rPr>
        <w:t>0 control cases had DM and their HbA1c was 6.3</w:t>
      </w:r>
      <w:r>
        <w:rPr>
          <w:rFonts w:eastAsia="Arial Unicode MS" w:asciiTheme="majorBidi" w:hAnsiTheme="majorBidi" w:cstheme="majorBidi"/>
          <w:b w:val="0"/>
          <w:i w:val="0"/>
          <w:caps w:val="0"/>
          <w:color w:val="000000"/>
          <w:sz w:val="28"/>
          <w:szCs w:val="28"/>
          <w:u w:color="000000"/>
        </w:rPr>
        <w:t>±0.5%</w:t>
      </w:r>
      <w:r>
        <w:rPr>
          <w:rFonts w:asciiTheme="majorBidi" w:hAnsiTheme="majorBidi" w:cstheme="majorBidi"/>
          <w:b w:val="0"/>
          <w:i w:val="0"/>
          <w:caps w:val="0"/>
          <w:sz w:val="28"/>
          <w:szCs w:val="28"/>
        </w:rPr>
        <w:t xml:space="preserve">, all patients and control are subjected to full history taking and clinical examination, routine laboratory investigations including </w:t>
      </w:r>
      <w:r>
        <w:rPr>
          <w:rFonts w:eastAsia="Arial Unicode MS" w:asciiTheme="majorBidi" w:hAnsiTheme="majorBidi" w:cstheme="majorBidi"/>
          <w:b w:val="0"/>
          <w:i w:val="0"/>
          <w:caps w:val="0"/>
          <w:color w:val="000000"/>
          <w:sz w:val="28"/>
          <w:szCs w:val="28"/>
          <w:u w:color="000000"/>
        </w:rPr>
        <w:t>Laboratory investigation.Routine cultures of blood, urine, and suspected sites were obtained to determine the presence of infection and
</w:t>
      </w:r>
    </w:p>
    <w:p>
      <w:pPr>
        <w:bidi w:val="0"/>
        <w:spacing w:line="240" w:lineRule="auto"/>
        <w:jc w:val="left"/>
        <w:outlineLvl w:val="0"/>
        <w:rPr>
          <w:rFonts w:eastAsia="Arial Unicode MS" w:asciiTheme="majorBidi" w:hAnsiTheme="majorBidi" w:cstheme="majorBidi"/>
          <w:b w:val="0"/>
          <w:i w:val="0"/>
          <w:caps w:val="0"/>
          <w:color w:val="000000"/>
          <w:sz w:val="28"/>
          <w:szCs w:val="28"/>
          <w:u w:color="000000"/>
        </w:rPr>
      </w:pPr>
      <w:r>
        <w:rPr>
          <w:rFonts w:eastAsia="Arial Unicode MS" w:asciiTheme="majorBidi" w:hAnsiTheme="majorBidi" w:cstheme="majorBidi"/>
          <w:b w:val="0"/>
          <w:i w:val="0"/>
          <w:caps w:val="0"/>
          <w:color w:val="000000"/>
          <w:sz w:val="28"/>
          <w:szCs w:val="28"/>
          <w:u w:color="000000"/>
        </w:rPr>
        <w:t>Serum biomarkers (IL6, CRP, and serum lactate levels) on days 0, 2, and 4.</w:t>
      </w:r>
    </w:p>
    <w:p>
      <w:pPr>
        <w:bidi w:val="0"/>
        <w:spacing w:after="240" w:line="240" w:lineRule="auto"/>
        <w:ind w:right="42" w:firstLine="567"/>
        <w:jc w:val="left"/>
        <w:rPr>
          <w:rFonts w:asciiTheme="majorBidi" w:hAnsiTheme="majorBidi" w:cstheme="majorBidi"/>
          <w:b w:val="0"/>
          <w:i w:val="0"/>
          <w:caps w:val="0"/>
          <w:sz w:val="28"/>
          <w:szCs w:val="28"/>
        </w:rPr>
      </w:pPr>
      <w:r>
        <w:rPr>
          <w:rFonts w:eastAsia="Arial Unicode MS" w:asciiTheme="majorBidi" w:hAnsiTheme="majorBidi" w:cstheme="majorBidi"/>
          <w:b/>
          <w:bCs w:val="0"/>
          <w:i w:val="0"/>
          <w:iCs/>
          <w:caps w:val="0"/>
          <w:color w:val="000000"/>
          <w:sz w:val="28"/>
          <w:szCs w:val="28"/>
          <w:u w:color="000000"/>
        </w:rPr>
        <w:t>Results:</w:t>
      </w:r>
      <w:r>
        <w:rPr>
          <w:rFonts w:asciiTheme="majorBidi" w:hAnsiTheme="majorBidi" w:cstheme="majorBidi"/>
          <w:b/>
          <w:bCs w:val="0"/>
          <w:i w:val="0"/>
          <w:caps w:val="0"/>
          <w:sz w:val="28"/>
          <w:szCs w:val="28"/>
        </w:rPr>
        <w:t xml:space="preserve"> </w:t>
      </w:r>
      <w:r>
        <w:rPr>
          <w:rFonts w:asciiTheme="majorBidi" w:hAnsiTheme="majorBidi" w:cstheme="majorBidi"/>
          <w:b w:val="0"/>
          <w:i w:val="0"/>
          <w:caps w:val="0"/>
          <w:sz w:val="28"/>
          <w:szCs w:val="28"/>
        </w:rPr>
        <w:t>In Day 2 and day 4the serum IL6 level and Serum CRP level and serum lactate level were significantly higher in Failed glycemic control subgroup in the 3 readings on admission, Day 2 and day 4, Also, In day 4 there was a significantly strong correlation between IL6 and R.B.S.</w:t>
      </w:r>
      <w:r>
        <w:rPr>
          <w:rFonts w:asciiTheme="majorBidi" w:hAnsiTheme="majorBidi" w:cstheme="majorBidi"/>
          <w:b w:val="0"/>
          <w:bCs/>
          <w:i w:val="0"/>
          <w:caps w:val="0"/>
          <w:sz w:val="28"/>
          <w:szCs w:val="28"/>
        </w:rPr>
        <w:t xml:space="preserve">, </w:t>
      </w:r>
      <w:r>
        <w:rPr>
          <w:rFonts w:asciiTheme="majorBidi" w:hAnsiTheme="majorBidi" w:cstheme="majorBidi"/>
          <w:b w:val="0"/>
          <w:i w:val="0"/>
          <w:caps w:val="0"/>
          <w:sz w:val="28"/>
          <w:szCs w:val="28"/>
        </w:rPr>
        <w:t>CRP, Serum Lactate and APACHE II.  The average ICU stay was significantly longer in failed glycemic control subgroup. There was a significant correlation between serum IL6 and average ICU stay obtained on day 2 and day 4.
</w:t>
      </w:r>
    </w:p>
    <w:p>
      <w:pPr>
        <w:tabs>
          <w:tab w:val="left" w:pos="1286"/>
        </w:tabs>
        <w:bidi w:val="0"/>
        <w:spacing w:before="240" w:after="240" w:line="240" w:lineRule="auto"/>
        <w:jc w:val="left"/>
        <w:rPr>
          <w:rFonts w:asciiTheme="majorBidi" w:hAnsiTheme="majorBidi" w:cstheme="majorBidi"/>
          <w:b w:val="0"/>
          <w:i w:val="0"/>
          <w:caps w:val="0"/>
          <w:sz w:val="28"/>
          <w:szCs w:val="28"/>
        </w:rPr>
      </w:pPr>
      <w:r>
        <w:rPr>
          <w:rFonts w:asciiTheme="majorBidi" w:hAnsiTheme="majorBidi" w:cstheme="majorBidi"/>
          <w:b w:val="0"/>
          <w:i w:val="0"/>
          <w:caps w:val="0"/>
          <w:sz w:val="28"/>
          <w:szCs w:val="28"/>
        </w:rPr>
        <w:t>Serum IL6 sample done on day 4 and Serum CRP level on day 2 was significantly lower in survivors compared to non- survivors. However Serum lactate level was not significant in the three samples.
</w:t>
      </w:r>
    </w:p>
    <w:p>
      <w:pPr>
        <w:tabs>
          <w:tab w:val="left" w:pos="1286"/>
        </w:tabs>
        <w:bidi w:val="0"/>
        <w:spacing w:before="240" w:after="240" w:line="240" w:lineRule="auto"/>
        <w:jc w:val="left"/>
        <w:rPr>
          <w:rFonts w:asciiTheme="majorBidi" w:hAnsiTheme="majorBidi" w:cstheme="majorBidi"/>
          <w:b w:val="0"/>
          <w:i w:val="0"/>
          <w:caps w:val="0"/>
          <w:sz w:val="28"/>
          <w:szCs w:val="28"/>
          <w:lang w:val="en-US" w:bidi="ar-EG"/>
        </w:rPr>
      </w:pPr>
      <w:r>
        <w:rPr>
          <w:rFonts w:eastAsia="SimSun" w:asciiTheme="majorBidi" w:hAnsiTheme="majorBidi" w:cstheme="majorBidi"/>
          <w:b/>
          <w:bCs w:val="0"/>
          <w:i w:val="0"/>
          <w:caps w:val="0"/>
          <w:sz w:val="28"/>
          <w:szCs w:val="28"/>
          <w:lang w:eastAsia="zh-CN"/>
        </w:rPr>
        <w:t>Conclusion:</w:t>
      </w:r>
      <w:r>
        <w:rPr>
          <w:rFonts w:asciiTheme="majorBidi" w:hAnsiTheme="majorBidi" w:cstheme="majorBidi"/>
          <w:b w:val="0"/>
          <w:i w:val="0"/>
          <w:caps w:val="0"/>
          <w:sz w:val="28"/>
          <w:szCs w:val="28"/>
          <w:lang w:bidi="ar-EG"/>
        </w:rPr>
        <w:t xml:space="preserve"> high IL-6 level was correlated with hyperglycemia and difficulties in glucose control. These results suggest there that hypercytokinemia might be involved in the development of hyperglycemia in sepsis, and might thereby affect the success of glucose contr</w:t>
      </w:r>
      <w:r>
        <w:rPr>
          <w:rFonts w:asciiTheme="majorBidi" w:hAnsiTheme="majorBidi" w:cstheme="majorBidi"/>
          <w:b w:val="0"/>
          <w:i w:val="0"/>
          <w:caps w:val="0"/>
          <w:sz w:val="28"/>
          <w:szCs w:val="28"/>
          <w:lang w:val="en-US" w:bidi="ar-EG"/>
        </w:rPr>
        <w:t>ol.</w:t>
      </w:r>
    </w:p>
    <w:p>
      <w:pPr>
        <w:bidi w:val="0"/>
        <w:spacing w:before="240" w:line="240" w:lineRule="auto"/>
        <w:jc w:val="left"/>
        <w:rPr>
          <w:rFonts w:eastAsia="SimSun" w:asciiTheme="majorBidi" w:hAnsiTheme="majorBidi" w:cstheme="majorBidi"/>
          <w:b w:val="0"/>
          <w:bCs/>
          <w:i w:val="0"/>
          <w:caps w:val="0"/>
          <w:sz w:val="28"/>
          <w:szCs w:val="28"/>
          <w:lang w:eastAsia="zh-CN"/>
        </w:rPr>
      </w:pPr>
    </w:p>
    <w:p>
      <w:pPr>
        <w:spacing w:before="240" w:after="0" w:line="360" w:lineRule="auto"/>
        <w:jc w:val="left"/>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Keywords: </w:t>
      </w:r>
      <w:r>
        <w:rPr>
          <w:rFonts w:ascii="Times New Roman" w:eastAsia="Times New Roman" w:hAnsi="Times New Roman" w:cs="Times New Roman"/>
          <w:sz w:val="28"/>
          <w:szCs w:val="28"/>
        </w:rPr>
        <w:t>SIRS, stress hyperglycemia, IL6, sepsis.</w:t>
      </w:r>
    </w:p>
    <w:p>
      <w:pPr>
        <w:jc w:val="left"/>
      </w:pPr>
    </w:p>
    <w:sectPr>
      <w:pgSz w:w="12240" w:h="15840"/>
      <w:pgMar w:top="1440" w:right="1440" w:bottom="1440" w:left="1440"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401FF" w:csb1="00000000"/>
  </w:font>
  <w:font w:name="Arial Unicode MS">
    <w:panose1 w:val="020B0604020202020204"/>
    <w:charset w:val="80"/>
    <w:family w:val="swiss"/>
    <w:pitch w:val="default"/>
    <w:sig w:usb0="FFFFFFFF" w:usb1="E9FFFFFF" w:usb2="0000003F" w:usb3="00000000" w:csb0="603F01FF" w:csb1="FFFF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D92"/>
    <w:rsid w:val="001E6668"/>
    <w:rsid w:val="00B31D0C"/>
    <w:rsid w:val="00FB7D92"/>
    <w:rsid w:val="6A486CF1"/>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bidi="ar-SA"/>
    </w:rPr>
  </w:style>
  <w:style w:type="paragraph" w:styleId="Heading4">
    <w:name w:val="heading 4"/>
    <w:basedOn w:val="Normal"/>
    <w:next w:val="Normal"/>
    <w:uiPriority w:val="9"/>
    <w:unhideWhenUsed/>
    <w:qFormat/>
    <w:pPr>
      <w:keepNext/>
      <w:keepLines/>
      <w:spacing w:before="200"/>
      <w:outlineLvl w:val="3"/>
    </w:pPr>
    <w:rPr>
      <w:rFonts w:asciiTheme="majorHAnsi" w:eastAsiaTheme="majorEastAsia" w:hAnsiTheme="majorHAnsi" w:cstheme="majorBidi"/>
      <w:b/>
      <w:bCs/>
      <w:i/>
      <w:iCs/>
      <w:color w:val="4F81BD" w:themeColor="accent1"/>
      <w14:textFill>
        <w14:solidFill>
          <w14:schemeClr w14:val="accent1"/>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2019-02-18T02:38:00Z</dcterms:created>
  <dcterms:modified xsi:type="dcterms:W3CDTF">2019-02-26T22:08:33Z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