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5D61F6" w:rsidP="00494130">
      <w:pPr>
        <w:pStyle w:val="Heading1"/>
        <w:spacing w:before="170"/>
        <w:ind w:left="0"/>
      </w:pPr>
      <w:r>
        <w:rPr>
          <w:color w:val="337AB7"/>
        </w:rPr>
        <w:t>A</w:t>
      </w:r>
      <w:r w:rsidRPr="005D61F6">
        <w:rPr>
          <w:color w:val="337AB7"/>
        </w:rPr>
        <w:t xml:space="preserve"> tetravalent </w:t>
      </w:r>
      <w:r>
        <w:rPr>
          <w:color w:val="337AB7"/>
        </w:rPr>
        <w:t xml:space="preserve">subunit vaccine candidate against dengue viruses based on </w:t>
      </w:r>
      <w:r w:rsidRPr="005D61F6">
        <w:rPr>
          <w:color w:val="337AB7"/>
        </w:rPr>
        <w:t xml:space="preserve">domain III-capsid proteins induces a functional immune response in mice and monkeys </w:t>
      </w:r>
    </w:p>
    <w:p w:rsidR="0023705E" w:rsidRDefault="0023705E" w:rsidP="005973B9">
      <w:pPr>
        <w:pStyle w:val="BodyText"/>
        <w:spacing w:before="73" w:line="198" w:lineRule="exact"/>
        <w:ind w:left="100" w:right="5987"/>
        <w:rPr>
          <w:rFonts w:ascii="Arial"/>
        </w:rPr>
      </w:pPr>
    </w:p>
    <w:p w:rsidR="005973B9" w:rsidRDefault="005D61F6" w:rsidP="005973B9">
      <w:pPr>
        <w:pStyle w:val="BodyText"/>
        <w:spacing w:before="73" w:line="198" w:lineRule="exact"/>
        <w:ind w:left="100" w:right="5987"/>
        <w:rPr>
          <w:rFonts w:ascii="Arial"/>
        </w:rPr>
      </w:pPr>
      <w:r>
        <w:rPr>
          <w:rFonts w:ascii="Arial"/>
        </w:rPr>
        <w:t>L</w:t>
      </w:r>
      <w:r w:rsidR="00C2060E" w:rsidRPr="00C2060E">
        <w:rPr>
          <w:rFonts w:ascii="Arial"/>
        </w:rPr>
        <w:t>á</w:t>
      </w:r>
      <w:r w:rsidR="00C2060E">
        <w:rPr>
          <w:rFonts w:ascii="Arial"/>
        </w:rPr>
        <w:t>zaro</w:t>
      </w:r>
      <w:r w:rsidRPr="005D61F6">
        <w:rPr>
          <w:rFonts w:ascii="Arial"/>
        </w:rPr>
        <w:t xml:space="preserve"> Gil, </w:t>
      </w:r>
      <w:r w:rsidR="005973B9">
        <w:rPr>
          <w:rFonts w:ascii="Arial"/>
        </w:rPr>
        <w:t xml:space="preserve">PhD, </w:t>
      </w:r>
      <w:r>
        <w:rPr>
          <w:rFonts w:ascii="Arial"/>
        </w:rPr>
        <w:t xml:space="preserve">Center for Genetic Engineering and </w:t>
      </w:r>
      <w:bookmarkStart w:id="0" w:name="_GoBack"/>
      <w:bookmarkEnd w:id="0"/>
      <w:r>
        <w:rPr>
          <w:rFonts w:ascii="Arial"/>
        </w:rPr>
        <w:t>Biotechnology, Cuba</w:t>
      </w:r>
    </w:p>
    <w:p w:rsidR="00AE3E37" w:rsidRDefault="00AE3E37">
      <w:pPr>
        <w:pStyle w:val="BodyText"/>
        <w:rPr>
          <w:rFonts w:ascii="Arial"/>
          <w:sz w:val="20"/>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CC0990">
      <w:pPr>
        <w:pStyle w:val="Heading3"/>
        <w:spacing w:before="147"/>
        <w:jc w:val="both"/>
      </w:pPr>
      <w:r>
        <w:rPr>
          <w:b w:val="0"/>
          <w:noProof/>
          <w:sz w:val="16"/>
        </w:rPr>
        <w:lastRenderedPageBreak/>
        <w:drawing>
          <wp:anchor distT="0" distB="0" distL="114300" distR="114300" simplePos="0" relativeHeight="251658240" behindDoc="1" locked="0" layoutInCell="1" allowOverlap="1" wp14:anchorId="32FAFCB7" wp14:editId="61BDB971">
            <wp:simplePos x="0" y="0"/>
            <wp:positionH relativeFrom="column">
              <wp:posOffset>3498850</wp:posOffset>
            </wp:positionH>
            <wp:positionV relativeFrom="paragraph">
              <wp:posOffset>194945</wp:posOffset>
            </wp:positionV>
            <wp:extent cx="3060700" cy="2095500"/>
            <wp:effectExtent l="0" t="0" r="0" b="0"/>
            <wp:wrapTight wrapText="bothSides">
              <wp:wrapPolygon edited="0">
                <wp:start x="0" y="0"/>
                <wp:lineTo x="0" y="21404"/>
                <wp:lineTo x="21510" y="21404"/>
                <wp:lineTo x="2151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60700" cy="209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A9710C">
        <w:rPr>
          <w:color w:val="BF5A14"/>
        </w:rPr>
        <w:t>Abstract</w:t>
      </w:r>
    </w:p>
    <w:p w:rsidR="00AE3E37" w:rsidRDefault="00F02643" w:rsidP="0023705E">
      <w:pPr>
        <w:pStyle w:val="Heading3"/>
        <w:spacing w:before="74"/>
        <w:jc w:val="both"/>
      </w:pPr>
      <w:r w:rsidRPr="00F02643">
        <w:rPr>
          <w:rFonts w:ascii="Tw Cen MT" w:eastAsia="Tw Cen MT" w:hAnsi="Tw Cen MT" w:cs="Tw Cen MT"/>
          <w:b w:val="0"/>
          <w:bCs w:val="0"/>
          <w:sz w:val="18"/>
          <w:szCs w:val="18"/>
        </w:rPr>
        <w:t xml:space="preserve">Dengue virus (DENV) is the most prevalent mosquito-borne virus affecting humans. Infection with any of the four dengue serotypes can cause a range of clinical manifestations that goes from self-limiting illness to potentially lethal severe dengue disease. </w:t>
      </w:r>
      <w:proofErr w:type="spellStart"/>
      <w:r w:rsidRPr="00F02643">
        <w:rPr>
          <w:rFonts w:ascii="Tw Cen MT" w:eastAsia="Tw Cen MT" w:hAnsi="Tw Cen MT" w:cs="Tw Cen MT"/>
          <w:b w:val="0"/>
          <w:bCs w:val="0"/>
          <w:sz w:val="18"/>
          <w:szCs w:val="18"/>
        </w:rPr>
        <w:t>ChimeriVaxTM</w:t>
      </w:r>
      <w:proofErr w:type="spellEnd"/>
      <w:r w:rsidRPr="00F02643">
        <w:rPr>
          <w:rFonts w:ascii="Tw Cen MT" w:eastAsia="Tw Cen MT" w:hAnsi="Tw Cen MT" w:cs="Tw Cen MT"/>
          <w:b w:val="0"/>
          <w:bCs w:val="0"/>
          <w:sz w:val="18"/>
          <w:szCs w:val="18"/>
        </w:rPr>
        <w:t xml:space="preserve">, a dengue vaccine developed by Sanofi Pasteur, has recently been registered in a number of countries. However, this vaccine has exhibited low protective capacity against DENV-1 and DENV-2 during efficacy trials conducted in endemic areas, despite the induction of neutralizing antibodies. The Cuban vaccine candidate is based on recombinant proteins that contain two viral regions to induce B and T cells: the domain III of the envelope protein and the capsid protein. The chimeric protein from DENV-2 (domain III-capsid (DIIIC-2)), when presented as aggregated incorporating </w:t>
      </w:r>
      <w:proofErr w:type="spellStart"/>
      <w:r w:rsidRPr="00F02643">
        <w:rPr>
          <w:rFonts w:ascii="Tw Cen MT" w:eastAsia="Tw Cen MT" w:hAnsi="Tw Cen MT" w:cs="Tw Cen MT"/>
          <w:b w:val="0"/>
          <w:bCs w:val="0"/>
          <w:sz w:val="18"/>
          <w:szCs w:val="18"/>
        </w:rPr>
        <w:t>oligodeoxynucleotides</w:t>
      </w:r>
      <w:proofErr w:type="spellEnd"/>
      <w:r w:rsidRPr="00F02643">
        <w:rPr>
          <w:rFonts w:ascii="Tw Cen MT" w:eastAsia="Tw Cen MT" w:hAnsi="Tw Cen MT" w:cs="Tw Cen MT"/>
          <w:b w:val="0"/>
          <w:bCs w:val="0"/>
          <w:sz w:val="18"/>
          <w:szCs w:val="18"/>
        </w:rPr>
        <w:t>, induced antiviral and neutralizing antibodies, cellular immune response, and conferred significant protection to mice and monkeys. After this proof of concept the remaining constructs were obtained and characterized using mice and human DENV-positive sera. Later, the immunogenicity, in terms of humoral and cell-mediated immunity, and the protective capacity of each protein were assessed in mice. Significant protection was afforded as measured by the limited viral load in the mouse encephalitis model. The assessment of the tetravalent formulation</w:t>
      </w:r>
      <w:r>
        <w:rPr>
          <w:rFonts w:ascii="Tw Cen MT" w:eastAsia="Tw Cen MT" w:hAnsi="Tw Cen MT" w:cs="Tw Cen MT"/>
          <w:b w:val="0"/>
          <w:bCs w:val="0"/>
          <w:sz w:val="18"/>
          <w:szCs w:val="18"/>
        </w:rPr>
        <w:t xml:space="preserve"> (Tetra DIIIC)</w:t>
      </w:r>
      <w:r w:rsidRPr="00F02643">
        <w:rPr>
          <w:rFonts w:ascii="Tw Cen MT" w:eastAsia="Tw Cen MT" w:hAnsi="Tw Cen MT" w:cs="Tw Cen MT"/>
          <w:b w:val="0"/>
          <w:bCs w:val="0"/>
          <w:sz w:val="18"/>
          <w:szCs w:val="18"/>
        </w:rPr>
        <w:t xml:space="preserve"> in non-human primates also demonstrated that the formulation induced neutralizing antibodies and memory cell-mediated immune response with IFN-</w:t>
      </w:r>
      <w:r w:rsidRPr="00F02643">
        <w:rPr>
          <w:rFonts w:eastAsia="Tw Cen MT"/>
          <w:b w:val="0"/>
          <w:bCs w:val="0"/>
          <w:sz w:val="18"/>
          <w:szCs w:val="18"/>
        </w:rPr>
        <w:t>γ</w:t>
      </w:r>
      <w:r w:rsidRPr="00F02643">
        <w:rPr>
          <w:rFonts w:ascii="Tw Cen MT" w:eastAsia="Tw Cen MT" w:hAnsi="Tw Cen MT" w:cs="Tw Cen MT"/>
          <w:b w:val="0"/>
          <w:bCs w:val="0"/>
          <w:sz w:val="18"/>
          <w:szCs w:val="18"/>
        </w:rPr>
        <w:t xml:space="preserve">-secreting and cytotoxic capacity, regardless the route of immunization used. </w:t>
      </w:r>
      <w:r>
        <w:rPr>
          <w:rFonts w:ascii="Tw Cen MT" w:eastAsia="Tw Cen MT" w:hAnsi="Tw Cen MT" w:cs="Tw Cen MT"/>
          <w:b w:val="0"/>
          <w:bCs w:val="0"/>
          <w:sz w:val="18"/>
          <w:szCs w:val="18"/>
        </w:rPr>
        <w:t xml:space="preserve">On the other hand, Tetra DIIIC is able to </w:t>
      </w:r>
      <w:r w:rsidRPr="00F02643">
        <w:rPr>
          <w:rFonts w:ascii="Tw Cen MT" w:eastAsia="Tw Cen MT" w:hAnsi="Tw Cen MT" w:cs="Tw Cen MT"/>
          <w:b w:val="0"/>
          <w:bCs w:val="0"/>
          <w:sz w:val="18"/>
          <w:szCs w:val="18"/>
        </w:rPr>
        <w:t>recall memory B and T cell responses induced in monkeys by an experimental dengue virus infection</w:t>
      </w:r>
      <w:r>
        <w:rPr>
          <w:rFonts w:ascii="Tw Cen MT" w:eastAsia="Tw Cen MT" w:hAnsi="Tw Cen MT" w:cs="Tw Cen MT"/>
          <w:b w:val="0"/>
          <w:bCs w:val="0"/>
          <w:sz w:val="18"/>
          <w:szCs w:val="18"/>
        </w:rPr>
        <w:t>, suggesting this vaccine candidate can be combined with live-attenuated viruses under different prime-boost regime of immunization. T</w:t>
      </w:r>
      <w:r w:rsidRPr="00F02643">
        <w:rPr>
          <w:rFonts w:ascii="Tw Cen MT" w:eastAsia="Tw Cen MT" w:hAnsi="Tw Cen MT" w:cs="Tw Cen MT"/>
          <w:b w:val="0"/>
          <w:bCs w:val="0"/>
          <w:sz w:val="18"/>
          <w:szCs w:val="18"/>
        </w:rPr>
        <w:t>aken together, it can be asserted that the tetravalent formulation of DIIIC proteins constitutes a promising vaccine candidate against dengue virus.</w:t>
      </w:r>
      <w:r w:rsidR="00A9710C">
        <w:rPr>
          <w:b w:val="0"/>
        </w:rPr>
        <w:br w:type="column"/>
      </w:r>
      <w:r w:rsidR="00A9710C">
        <w:rPr>
          <w:color w:val="BF5A14"/>
        </w:rPr>
        <w:lastRenderedPageBreak/>
        <w:t>Image</w:t>
      </w:r>
    </w:p>
    <w:p w:rsidR="00AE3E37" w:rsidRDefault="00AE3E37">
      <w:pPr>
        <w:pStyle w:val="BodyText"/>
        <w:spacing w:before="2"/>
        <w:rPr>
          <w:rFonts w:ascii="Arial"/>
          <w:b/>
          <w:sz w:val="16"/>
        </w:rPr>
      </w:pPr>
    </w:p>
    <w:p w:rsidR="005973B9" w:rsidRDefault="00CC0990" w:rsidP="005973B9">
      <w:pPr>
        <w:spacing w:line="204" w:lineRule="exact"/>
        <w:rPr>
          <w:rFonts w:ascii="Arial"/>
          <w:b/>
          <w:sz w:val="20"/>
        </w:rPr>
      </w:pPr>
      <w:r>
        <w:rPr>
          <w:rFonts w:ascii="Arial"/>
          <w:b/>
          <w:color w:val="BF5A14"/>
          <w:sz w:val="20"/>
        </w:rPr>
        <w:br/>
        <w:t>Recent Publications</w:t>
      </w:r>
    </w:p>
    <w:p w:rsidR="00C82A75" w:rsidRPr="00C82A75" w:rsidRDefault="00C82A75" w:rsidP="00C82A75">
      <w:pPr>
        <w:pStyle w:val="ListParagraph"/>
        <w:numPr>
          <w:ilvl w:val="0"/>
          <w:numId w:val="4"/>
        </w:numPr>
        <w:tabs>
          <w:tab w:val="left" w:pos="384"/>
        </w:tabs>
        <w:ind w:right="117"/>
        <w:rPr>
          <w:sz w:val="16"/>
          <w:szCs w:val="16"/>
        </w:rPr>
      </w:pPr>
      <w:r w:rsidRPr="00C82A75">
        <w:rPr>
          <w:sz w:val="16"/>
          <w:szCs w:val="16"/>
        </w:rPr>
        <w:t xml:space="preserve">Gil L, et al. (2015) </w:t>
      </w:r>
      <w:proofErr w:type="gramStart"/>
      <w:r w:rsidRPr="00C82A75">
        <w:rPr>
          <w:sz w:val="16"/>
          <w:szCs w:val="16"/>
        </w:rPr>
        <w:t>The</w:t>
      </w:r>
      <w:proofErr w:type="gramEnd"/>
      <w:r w:rsidRPr="00C82A75">
        <w:rPr>
          <w:sz w:val="16"/>
          <w:szCs w:val="16"/>
        </w:rPr>
        <w:t xml:space="preserve"> protein DIIIC-2, aggregated with a specific </w:t>
      </w:r>
      <w:proofErr w:type="spellStart"/>
      <w:r w:rsidRPr="00C82A75">
        <w:rPr>
          <w:sz w:val="16"/>
          <w:szCs w:val="16"/>
        </w:rPr>
        <w:t>oligodeoxynucleotide</w:t>
      </w:r>
      <w:proofErr w:type="spellEnd"/>
      <w:r w:rsidRPr="00C82A75">
        <w:rPr>
          <w:sz w:val="16"/>
          <w:szCs w:val="16"/>
        </w:rPr>
        <w:t xml:space="preserve"> and </w:t>
      </w:r>
      <w:proofErr w:type="spellStart"/>
      <w:r w:rsidRPr="00C82A75">
        <w:rPr>
          <w:sz w:val="16"/>
          <w:szCs w:val="16"/>
        </w:rPr>
        <w:t>adjuvanted</w:t>
      </w:r>
      <w:proofErr w:type="spellEnd"/>
      <w:r w:rsidRPr="00C82A75">
        <w:rPr>
          <w:sz w:val="16"/>
          <w:szCs w:val="16"/>
        </w:rPr>
        <w:t xml:space="preserve"> in alum, protects mice and monkeys against DENV-2. </w:t>
      </w:r>
      <w:proofErr w:type="spellStart"/>
      <w:r w:rsidRPr="00C82A75">
        <w:rPr>
          <w:sz w:val="16"/>
          <w:szCs w:val="16"/>
        </w:rPr>
        <w:t>Immunol</w:t>
      </w:r>
      <w:proofErr w:type="spellEnd"/>
      <w:r>
        <w:rPr>
          <w:sz w:val="16"/>
          <w:szCs w:val="16"/>
        </w:rPr>
        <w:t xml:space="preserve"> Cell </w:t>
      </w:r>
      <w:proofErr w:type="spellStart"/>
      <w:r>
        <w:rPr>
          <w:sz w:val="16"/>
          <w:szCs w:val="16"/>
        </w:rPr>
        <w:t>Biol</w:t>
      </w:r>
      <w:proofErr w:type="spellEnd"/>
      <w:r w:rsidRPr="00C82A75">
        <w:rPr>
          <w:sz w:val="16"/>
          <w:szCs w:val="16"/>
        </w:rPr>
        <w:t xml:space="preserve"> 93:57–66</w:t>
      </w:r>
    </w:p>
    <w:p w:rsidR="00C82A75" w:rsidRPr="00C82A75" w:rsidRDefault="00C82A75" w:rsidP="00C82A75">
      <w:pPr>
        <w:pStyle w:val="ListParagraph"/>
        <w:numPr>
          <w:ilvl w:val="0"/>
          <w:numId w:val="4"/>
        </w:numPr>
        <w:tabs>
          <w:tab w:val="left" w:pos="384"/>
        </w:tabs>
        <w:ind w:right="117"/>
        <w:rPr>
          <w:sz w:val="16"/>
          <w:szCs w:val="16"/>
        </w:rPr>
      </w:pPr>
      <w:r>
        <w:rPr>
          <w:sz w:val="16"/>
          <w:szCs w:val="16"/>
        </w:rPr>
        <w:t>Gil L, et al. (2015)</w:t>
      </w:r>
      <w:r w:rsidRPr="00C82A75">
        <w:rPr>
          <w:sz w:val="16"/>
          <w:szCs w:val="16"/>
        </w:rPr>
        <w:t xml:space="preserve"> A novel tetravalent formulation combining the four aggregated domain III-capsid proteins from dengue viruses induces a functional immune response in</w:t>
      </w:r>
      <w:r>
        <w:rPr>
          <w:sz w:val="16"/>
          <w:szCs w:val="16"/>
        </w:rPr>
        <w:t xml:space="preserve"> mice and monkeys. </w:t>
      </w:r>
      <w:proofErr w:type="spellStart"/>
      <w:r>
        <w:rPr>
          <w:sz w:val="16"/>
          <w:szCs w:val="16"/>
        </w:rPr>
        <w:t>Int</w:t>
      </w:r>
      <w:proofErr w:type="spellEnd"/>
      <w:r>
        <w:rPr>
          <w:sz w:val="16"/>
          <w:szCs w:val="16"/>
        </w:rPr>
        <w:t xml:space="preserve"> </w:t>
      </w:r>
      <w:proofErr w:type="spellStart"/>
      <w:r>
        <w:rPr>
          <w:sz w:val="16"/>
          <w:szCs w:val="16"/>
        </w:rPr>
        <w:t>Immunol</w:t>
      </w:r>
      <w:proofErr w:type="spellEnd"/>
      <w:r w:rsidRPr="00C82A75">
        <w:rPr>
          <w:sz w:val="16"/>
          <w:szCs w:val="16"/>
        </w:rPr>
        <w:t xml:space="preserve"> 27(8):367–79. </w:t>
      </w:r>
    </w:p>
    <w:p w:rsidR="00C82A75" w:rsidRPr="00C82A75" w:rsidRDefault="00C82A75" w:rsidP="00C82A75">
      <w:pPr>
        <w:pStyle w:val="ListParagraph"/>
        <w:numPr>
          <w:ilvl w:val="0"/>
          <w:numId w:val="4"/>
        </w:numPr>
        <w:tabs>
          <w:tab w:val="left" w:pos="384"/>
        </w:tabs>
        <w:ind w:right="117"/>
        <w:rPr>
          <w:sz w:val="16"/>
          <w:szCs w:val="16"/>
        </w:rPr>
      </w:pPr>
      <w:r w:rsidRPr="00C82A75">
        <w:rPr>
          <w:sz w:val="16"/>
          <w:szCs w:val="16"/>
        </w:rPr>
        <w:t xml:space="preserve">Valdés I, Gil L, et al. (2016) </w:t>
      </w:r>
      <w:proofErr w:type="gramStart"/>
      <w:r w:rsidRPr="00C82A75">
        <w:rPr>
          <w:sz w:val="16"/>
          <w:szCs w:val="16"/>
        </w:rPr>
        <w:t>Could</w:t>
      </w:r>
      <w:proofErr w:type="gramEnd"/>
      <w:r w:rsidRPr="00C82A75">
        <w:rPr>
          <w:sz w:val="16"/>
          <w:szCs w:val="16"/>
        </w:rPr>
        <w:t xml:space="preserve"> an experimental dengue virus infection fail to induce solid immunity against homologous viral challenge</w:t>
      </w:r>
      <w:r>
        <w:rPr>
          <w:sz w:val="16"/>
          <w:szCs w:val="16"/>
        </w:rPr>
        <w:t xml:space="preserve"> in non-human primates? Arch </w:t>
      </w:r>
      <w:proofErr w:type="spellStart"/>
      <w:r>
        <w:rPr>
          <w:sz w:val="16"/>
          <w:szCs w:val="16"/>
        </w:rPr>
        <w:t>Virol</w:t>
      </w:r>
      <w:proofErr w:type="spellEnd"/>
      <w:r w:rsidRPr="00C82A75">
        <w:rPr>
          <w:sz w:val="16"/>
          <w:szCs w:val="16"/>
        </w:rPr>
        <w:t xml:space="preserve"> 161:465–470.</w:t>
      </w:r>
    </w:p>
    <w:p w:rsidR="00C82A75" w:rsidRPr="00C82A75" w:rsidRDefault="00C82A75" w:rsidP="00C82A75">
      <w:pPr>
        <w:pStyle w:val="ListParagraph"/>
        <w:numPr>
          <w:ilvl w:val="0"/>
          <w:numId w:val="4"/>
        </w:numPr>
        <w:tabs>
          <w:tab w:val="left" w:pos="384"/>
        </w:tabs>
        <w:ind w:right="117"/>
        <w:rPr>
          <w:sz w:val="16"/>
          <w:szCs w:val="16"/>
        </w:rPr>
      </w:pPr>
      <w:r w:rsidRPr="00C2060E">
        <w:rPr>
          <w:sz w:val="16"/>
          <w:szCs w:val="16"/>
          <w:lang w:val="es-ES"/>
        </w:rPr>
        <w:t xml:space="preserve">Marcos E, Lazo L, Gil L, et al. </w:t>
      </w:r>
      <w:r w:rsidRPr="00C82A75">
        <w:rPr>
          <w:sz w:val="16"/>
          <w:szCs w:val="16"/>
        </w:rPr>
        <w:t>(2016) Dengue encephalitis-associated immunopathology in the mouse model: Implications for vaccine developers and antigens inducer of cell</w:t>
      </w:r>
      <w:r>
        <w:rPr>
          <w:sz w:val="16"/>
          <w:szCs w:val="16"/>
        </w:rPr>
        <w:t xml:space="preserve">ular immune response. </w:t>
      </w:r>
      <w:proofErr w:type="spellStart"/>
      <w:r>
        <w:rPr>
          <w:sz w:val="16"/>
          <w:szCs w:val="16"/>
        </w:rPr>
        <w:t>Immunol</w:t>
      </w:r>
      <w:proofErr w:type="spellEnd"/>
      <w:r>
        <w:rPr>
          <w:sz w:val="16"/>
          <w:szCs w:val="16"/>
        </w:rPr>
        <w:t xml:space="preserve"> Lett</w:t>
      </w:r>
      <w:r w:rsidRPr="00C82A75">
        <w:rPr>
          <w:sz w:val="16"/>
          <w:szCs w:val="16"/>
        </w:rPr>
        <w:t xml:space="preserve"> 176:51–56.</w:t>
      </w:r>
    </w:p>
    <w:p w:rsidR="00C82A75" w:rsidRPr="00C82A75" w:rsidRDefault="00C82A75" w:rsidP="00C82A75">
      <w:pPr>
        <w:pStyle w:val="ListParagraph"/>
        <w:numPr>
          <w:ilvl w:val="0"/>
          <w:numId w:val="4"/>
        </w:numPr>
        <w:tabs>
          <w:tab w:val="left" w:pos="384"/>
        </w:tabs>
        <w:ind w:right="117"/>
        <w:rPr>
          <w:sz w:val="16"/>
          <w:szCs w:val="16"/>
        </w:rPr>
      </w:pPr>
      <w:r>
        <w:rPr>
          <w:sz w:val="16"/>
          <w:szCs w:val="16"/>
        </w:rPr>
        <w:t xml:space="preserve">Gil L, et al. (2016) </w:t>
      </w:r>
      <w:proofErr w:type="gramStart"/>
      <w:r>
        <w:rPr>
          <w:sz w:val="16"/>
          <w:szCs w:val="16"/>
        </w:rPr>
        <w:t>A</w:t>
      </w:r>
      <w:proofErr w:type="gramEnd"/>
      <w:r>
        <w:rPr>
          <w:sz w:val="16"/>
          <w:szCs w:val="16"/>
        </w:rPr>
        <w:t xml:space="preserve"> t</w:t>
      </w:r>
      <w:r w:rsidRPr="00C82A75">
        <w:rPr>
          <w:sz w:val="16"/>
          <w:szCs w:val="16"/>
        </w:rPr>
        <w:t xml:space="preserve">etravalent formulation based on recombinant </w:t>
      </w:r>
      <w:proofErr w:type="spellStart"/>
      <w:r w:rsidRPr="00C82A75">
        <w:rPr>
          <w:sz w:val="16"/>
          <w:szCs w:val="16"/>
        </w:rPr>
        <w:t>nucleocapsid</w:t>
      </w:r>
      <w:proofErr w:type="spellEnd"/>
      <w:r w:rsidRPr="00C82A75">
        <w:rPr>
          <w:sz w:val="16"/>
          <w:szCs w:val="16"/>
        </w:rPr>
        <w:t>-like particles from dengue viruses induces a functional immune response in mice and monkeys. J</w:t>
      </w:r>
      <w:r>
        <w:rPr>
          <w:sz w:val="16"/>
          <w:szCs w:val="16"/>
        </w:rPr>
        <w:t xml:space="preserve"> </w:t>
      </w:r>
      <w:proofErr w:type="spellStart"/>
      <w:r>
        <w:rPr>
          <w:sz w:val="16"/>
          <w:szCs w:val="16"/>
        </w:rPr>
        <w:t>Immunol</w:t>
      </w:r>
      <w:proofErr w:type="spellEnd"/>
      <w:r w:rsidRPr="00C82A75">
        <w:rPr>
          <w:sz w:val="16"/>
          <w:szCs w:val="16"/>
        </w:rPr>
        <w:t xml:space="preserve"> 197(9):3597-3606.</w:t>
      </w: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AE3E37" w:rsidRDefault="00FD6EEE">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23705E" w:rsidP="00404E5B">
      <w:pPr>
        <w:spacing w:before="92"/>
        <w:ind w:right="4234"/>
        <w:rPr>
          <w:rFonts w:ascii="Arial"/>
        </w:rPr>
      </w:pPr>
      <w:r>
        <w:rPr>
          <w:rFonts w:ascii="Arial"/>
          <w:noProof/>
          <w:color w:val="BF5A14"/>
        </w:rPr>
        <w:drawing>
          <wp:inline distT="0" distB="0" distL="0" distR="0" wp14:anchorId="52AD2CCA">
            <wp:extent cx="620799" cy="6155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20436" cy="615216"/>
                    </a:xfrm>
                    <a:prstGeom prst="rect">
                      <a:avLst/>
                    </a:prstGeom>
                    <a:noFill/>
                  </pic:spPr>
                </pic:pic>
              </a:graphicData>
            </a:graphic>
          </wp:inline>
        </w:drawing>
      </w:r>
      <w:r>
        <w:rPr>
          <w:rFonts w:ascii="Arial"/>
          <w:color w:val="BF5A14"/>
        </w:rPr>
        <w:t xml:space="preserve">  </w:t>
      </w:r>
      <w:r w:rsidR="00A9710C">
        <w:rPr>
          <w:rFonts w:ascii="Arial"/>
          <w:color w:val="BF5A14"/>
        </w:rPr>
        <w:t>Biography</w:t>
      </w:r>
      <w:r w:rsidR="00404E5B">
        <w:rPr>
          <w:rFonts w:ascii="Arial"/>
          <w:color w:val="BF5A14"/>
        </w:rPr>
        <w:t xml:space="preserve"> </w:t>
      </w:r>
    </w:p>
    <w:p w:rsidR="00AE3E37" w:rsidRDefault="005D61F6">
      <w:pPr>
        <w:spacing w:before="41" w:line="154" w:lineRule="exact"/>
        <w:ind w:left="213" w:right="231"/>
        <w:jc w:val="both"/>
        <w:rPr>
          <w:rFonts w:ascii="Arial"/>
          <w:sz w:val="14"/>
        </w:rPr>
      </w:pPr>
      <w:r w:rsidRPr="005D61F6">
        <w:rPr>
          <w:rFonts w:ascii="Arial"/>
          <w:sz w:val="14"/>
        </w:rPr>
        <w:t>L</w:t>
      </w:r>
      <w:r w:rsidRPr="005D61F6">
        <w:rPr>
          <w:rFonts w:ascii="Arial"/>
          <w:sz w:val="14"/>
        </w:rPr>
        <w:t>á</w:t>
      </w:r>
      <w:r w:rsidRPr="005D61F6">
        <w:rPr>
          <w:rFonts w:ascii="Arial"/>
          <w:sz w:val="14"/>
        </w:rPr>
        <w:t>zaro Gil earned his PhD in Biological Sciences in 2010. Dr. Gil has worked on the fields of Virology and Immunology to develop different antigens for vaccine against Dengue virus. Dr. Gil has been the recipient of numerous awards including: five National awards of the Cuban Academy of Sciences, National Health awards and a National award from the Ministry of Science and Technology of Cuba. He has also been tutor of Bachelor and Doctoral theses and has revised several theses to obtain Bachelor, Master or PhD degree. Dr. Gil has presented his researches in international conference meetings and workshops and his works has been published in several peer-review international journals: Journal of General Virology, The Journal of Immunology, Immunology and Cell Biology, Virology, Vaccine, International Immunology, Viral Immunology, Clinical and Vaccine Immunology, Archives of Virology, Immunology Letters among others.</w:t>
      </w:r>
    </w:p>
    <w:p w:rsidR="002F2897" w:rsidRDefault="002F2897">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2" w:history="1">
        <w:r w:rsidR="002F2897" w:rsidRPr="00900093">
          <w:rPr>
            <w:rStyle w:val="Hyperlink"/>
            <w:rFonts w:ascii="Arial"/>
            <w:sz w:val="14"/>
          </w:rPr>
          <w:t>l</w:t>
        </w:r>
      </w:hyperlink>
      <w:r w:rsidR="002F2897">
        <w:rPr>
          <w:rStyle w:val="Hyperlink"/>
          <w:rFonts w:ascii="Arial"/>
          <w:sz w:val="14"/>
        </w:rPr>
        <w:t>azaro.gil@cigb.edu.cu</w:t>
      </w:r>
    </w:p>
    <w:p w:rsidR="00AE3E37" w:rsidRDefault="00FD6EEE">
      <w:pPr>
        <w:pStyle w:val="BodyText"/>
        <w:spacing w:before="2"/>
        <w:rPr>
          <w:rFonts w:ascii="Arial"/>
          <w:sz w:val="19"/>
        </w:rPr>
      </w:pPr>
      <w:r>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Pr="00B21A57" w:rsidRDefault="00C82A75">
      <w:pPr>
        <w:spacing w:before="39"/>
        <w:ind w:left="100"/>
        <w:rPr>
          <w:rFonts w:ascii="Minion Pro"/>
          <w:b/>
          <w:sz w:val="20"/>
        </w:rPr>
      </w:pPr>
      <w:r>
        <w:rPr>
          <w:rFonts w:ascii="Minion Pro"/>
          <w:b/>
          <w:sz w:val="20"/>
        </w:rPr>
        <w:t>N</w:t>
      </w:r>
      <w:r w:rsidR="00A9710C" w:rsidRPr="00B21A57">
        <w:rPr>
          <w:rFonts w:ascii="Minion Pro"/>
          <w:b/>
          <w:sz w:val="20"/>
        </w:rPr>
        <w:t>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EEE" w:rsidRDefault="00FD6EEE">
      <w:r>
        <w:separator/>
      </w:r>
    </w:p>
  </w:endnote>
  <w:endnote w:type="continuationSeparator" w:id="0">
    <w:p w:rsidR="00FD6EEE" w:rsidRDefault="00FD6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D6EEE">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Pr>
        <w:noProof/>
      </w:rPr>
      <w:pict>
        <v:shape id="Text Box 2" o:spid="_x0000_s2050"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Pr>
        <w:noProof/>
      </w:rPr>
      <w:pict>
        <v:shape id="Text Box 1" o:spid="_x0000_s2049"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EEE" w:rsidRDefault="00FD6EEE">
      <w:r>
        <w:separator/>
      </w:r>
    </w:p>
  </w:footnote>
  <w:footnote w:type="continuationSeparator" w:id="0">
    <w:p w:rsidR="00FD6EEE" w:rsidRDefault="00FD6E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FD6EEE">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Pr>
        <w:noProof/>
      </w:rPr>
      <w:pict>
        <v:shape id="Text Box 4" o:spid="_x0000_s2052"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5D0E1C18"/>
    <w:multiLevelType w:val="hybridMultilevel"/>
    <w:tmpl w:val="DA3A8C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23705E"/>
    <w:rsid w:val="00292ED9"/>
    <w:rsid w:val="002F2897"/>
    <w:rsid w:val="00404E5B"/>
    <w:rsid w:val="00414F7B"/>
    <w:rsid w:val="004355DC"/>
    <w:rsid w:val="004749B4"/>
    <w:rsid w:val="00494130"/>
    <w:rsid w:val="004F3523"/>
    <w:rsid w:val="00554713"/>
    <w:rsid w:val="005973B9"/>
    <w:rsid w:val="005B3A56"/>
    <w:rsid w:val="005D61F6"/>
    <w:rsid w:val="006060CE"/>
    <w:rsid w:val="0063497F"/>
    <w:rsid w:val="00873DF0"/>
    <w:rsid w:val="008756E6"/>
    <w:rsid w:val="00961949"/>
    <w:rsid w:val="009A098C"/>
    <w:rsid w:val="009B2D44"/>
    <w:rsid w:val="00A07E82"/>
    <w:rsid w:val="00A9710C"/>
    <w:rsid w:val="00AB3AD1"/>
    <w:rsid w:val="00AE3E37"/>
    <w:rsid w:val="00B21A57"/>
    <w:rsid w:val="00B87E84"/>
    <w:rsid w:val="00C2060E"/>
    <w:rsid w:val="00C33602"/>
    <w:rsid w:val="00C82A75"/>
    <w:rsid w:val="00CC0990"/>
    <w:rsid w:val="00CD6F55"/>
    <w:rsid w:val="00DE3104"/>
    <w:rsid w:val="00F02643"/>
    <w:rsid w:val="00F72EEA"/>
    <w:rsid w:val="00F84CAE"/>
    <w:rsid w:val="00FD6E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656</Words>
  <Characters>3745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Lázaro Gil González</cp:lastModifiedBy>
  <cp:revision>11</cp:revision>
  <dcterms:created xsi:type="dcterms:W3CDTF">2016-08-31T12:06:00Z</dcterms:created>
  <dcterms:modified xsi:type="dcterms:W3CDTF">2017-03-03T19:19:00Z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