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294" w:rsidRPr="005456D6" w:rsidRDefault="00D94294" w:rsidP="00D94294">
      <w:pPr>
        <w:jc w:val="center"/>
        <w:rPr>
          <w:rFonts w:ascii="Book Antiqua" w:hAnsi="Book Antiqua"/>
          <w:b/>
          <w:sz w:val="28"/>
          <w:szCs w:val="28"/>
        </w:rPr>
      </w:pPr>
      <w:r w:rsidRPr="005456D6">
        <w:rPr>
          <w:rFonts w:ascii="Book Antiqua" w:hAnsi="Book Antiqua"/>
          <w:b/>
          <w:sz w:val="28"/>
          <w:szCs w:val="28"/>
        </w:rPr>
        <w:t xml:space="preserve">Obstacles à l’accès aux </w:t>
      </w:r>
      <w:r>
        <w:rPr>
          <w:rFonts w:ascii="Book Antiqua" w:hAnsi="Book Antiqua"/>
          <w:b/>
          <w:sz w:val="28"/>
          <w:szCs w:val="28"/>
        </w:rPr>
        <w:t>ARV</w:t>
      </w:r>
      <w:r w:rsidRPr="005456D6">
        <w:rPr>
          <w:rFonts w:ascii="Book Antiqua" w:hAnsi="Book Antiqua"/>
          <w:b/>
          <w:sz w:val="28"/>
          <w:szCs w:val="28"/>
        </w:rPr>
        <w:t xml:space="preserve"> pour les populations clés (PC) HSH et PS </w:t>
      </w:r>
      <w:r>
        <w:rPr>
          <w:rFonts w:ascii="Book Antiqua" w:hAnsi="Book Antiqua"/>
          <w:b/>
          <w:sz w:val="28"/>
          <w:szCs w:val="28"/>
        </w:rPr>
        <w:t>dépistées positifs au</w:t>
      </w:r>
      <w:r w:rsidRPr="005456D6">
        <w:rPr>
          <w:rFonts w:ascii="Book Antiqua" w:hAnsi="Book Antiqua"/>
          <w:b/>
          <w:sz w:val="28"/>
          <w:szCs w:val="28"/>
        </w:rPr>
        <w:t xml:space="preserve"> VIH en république de Guinée</w:t>
      </w:r>
    </w:p>
    <w:p w:rsidR="00D94294" w:rsidRDefault="00D94294" w:rsidP="00D94294">
      <w:pPr>
        <w:jc w:val="both"/>
        <w:rPr>
          <w:rFonts w:ascii="Book Antiqua" w:hAnsi="Book Antiqua"/>
          <w:b/>
          <w:sz w:val="28"/>
          <w:szCs w:val="28"/>
        </w:rPr>
      </w:pPr>
      <w:r w:rsidRPr="00432F02">
        <w:rPr>
          <w:rFonts w:ascii="Book Antiqua" w:hAnsi="Book Antiqua"/>
          <w:b/>
          <w:sz w:val="28"/>
          <w:szCs w:val="28"/>
        </w:rPr>
        <w:t>AUTEURS</w:t>
      </w:r>
      <w:r w:rsidRPr="005456D6">
        <w:rPr>
          <w:rFonts w:ascii="Book Antiqua" w:hAnsi="Book Antiqua"/>
          <w:b/>
          <w:sz w:val="28"/>
          <w:szCs w:val="28"/>
        </w:rPr>
        <w:t xml:space="preserve"> : </w:t>
      </w:r>
      <w:r>
        <w:rPr>
          <w:rFonts w:ascii="Book Antiqua" w:hAnsi="Book Antiqua"/>
          <w:sz w:val="28"/>
          <w:szCs w:val="28"/>
        </w:rPr>
        <w:t>CAMARA Ousmane Germain</w:t>
      </w:r>
      <w:r w:rsidRPr="005456D6">
        <w:rPr>
          <w:rFonts w:ascii="Book Antiqua" w:hAnsi="Book Antiqua"/>
          <w:sz w:val="28"/>
          <w:szCs w:val="28"/>
        </w:rPr>
        <w:t>, Dr KONE Aboubacar2</w:t>
      </w:r>
    </w:p>
    <w:p w:rsidR="00D94294" w:rsidRPr="00432F02" w:rsidRDefault="00D94294" w:rsidP="00D94294">
      <w:pPr>
        <w:jc w:val="both"/>
        <w:rPr>
          <w:rFonts w:ascii="Book Antiqua" w:hAnsi="Book Antiqua"/>
          <w:b/>
          <w:sz w:val="28"/>
          <w:szCs w:val="28"/>
        </w:rPr>
      </w:pPr>
      <w:r w:rsidRPr="00432F02">
        <w:rPr>
          <w:rFonts w:ascii="Book Antiqua" w:hAnsi="Book Antiqua"/>
          <w:b/>
          <w:sz w:val="28"/>
          <w:szCs w:val="28"/>
        </w:rPr>
        <w:t>QUESTIONS :</w:t>
      </w:r>
    </w:p>
    <w:p w:rsidR="00D94294" w:rsidRPr="005456D6" w:rsidRDefault="00D94294" w:rsidP="00D94294">
      <w:pPr>
        <w:jc w:val="both"/>
        <w:rPr>
          <w:rFonts w:ascii="Book Antiqua" w:hAnsi="Book Antiqua"/>
          <w:sz w:val="28"/>
          <w:szCs w:val="28"/>
        </w:rPr>
      </w:pPr>
      <w:r w:rsidRPr="005456D6">
        <w:rPr>
          <w:rFonts w:ascii="Book Antiqua" w:hAnsi="Book Antiqua"/>
          <w:sz w:val="28"/>
          <w:szCs w:val="28"/>
        </w:rPr>
        <w:t>Dans le cadre du renforcement et décentralisation de la lutte contre la tuberculose et le VIH/SIDA pour atteindre les population</w:t>
      </w:r>
      <w:r>
        <w:rPr>
          <w:rFonts w:ascii="Book Antiqua" w:hAnsi="Book Antiqua"/>
          <w:sz w:val="28"/>
          <w:szCs w:val="28"/>
        </w:rPr>
        <w:t>s clés  en république de Guinée</w:t>
      </w:r>
      <w:r w:rsidRPr="005456D6">
        <w:rPr>
          <w:rFonts w:ascii="Book Antiqua" w:hAnsi="Book Antiqua"/>
          <w:sz w:val="28"/>
          <w:szCs w:val="28"/>
        </w:rPr>
        <w:t xml:space="preserve">, le programme National VIH avec l’appui de Plan International Guinée ont mis en place </w:t>
      </w:r>
      <w:r>
        <w:rPr>
          <w:rFonts w:ascii="Book Antiqua" w:hAnsi="Book Antiqua"/>
          <w:sz w:val="28"/>
          <w:szCs w:val="28"/>
        </w:rPr>
        <w:t>des</w:t>
      </w:r>
      <w:r w:rsidRPr="005456D6">
        <w:rPr>
          <w:rFonts w:ascii="Book Antiqua" w:hAnsi="Book Antiqua"/>
          <w:sz w:val="28"/>
          <w:szCs w:val="28"/>
        </w:rPr>
        <w:t xml:space="preserve"> centres des services adaptés (CSA) au niveau de tout le pays. L’une des activités intégrées aux paquets de services des CSA et aussi l’objectif majeurs était la recherche et l’identification de personnes positives au VIH au sien des PC que sont les professionnelles de sexe (PS) et les Homme ayant des rapports sexuels avec des hommes (HSH)</w:t>
      </w:r>
      <w:r>
        <w:rPr>
          <w:rFonts w:ascii="Book Antiqua" w:hAnsi="Book Antiqua"/>
          <w:sz w:val="28"/>
          <w:szCs w:val="28"/>
        </w:rPr>
        <w:t>. Cependant</w:t>
      </w:r>
      <w:r w:rsidRPr="005456D6">
        <w:rPr>
          <w:rFonts w:ascii="Book Antiqua" w:hAnsi="Book Antiqua"/>
          <w:sz w:val="28"/>
          <w:szCs w:val="28"/>
        </w:rPr>
        <w:t xml:space="preserve"> l’activité de dépistage connait des difficultés et des défis.</w:t>
      </w:r>
    </w:p>
    <w:p w:rsidR="00D94294" w:rsidRPr="00432F02" w:rsidRDefault="00D94294" w:rsidP="00D94294">
      <w:pPr>
        <w:jc w:val="both"/>
        <w:rPr>
          <w:rFonts w:ascii="Book Antiqua" w:hAnsi="Book Antiqua"/>
          <w:b/>
          <w:sz w:val="28"/>
          <w:szCs w:val="28"/>
        </w:rPr>
      </w:pPr>
      <w:r w:rsidRPr="00432F02">
        <w:rPr>
          <w:rFonts w:ascii="Book Antiqua" w:hAnsi="Book Antiqua"/>
          <w:b/>
          <w:sz w:val="28"/>
          <w:szCs w:val="28"/>
        </w:rPr>
        <w:t>DESCRIPTION :</w:t>
      </w:r>
    </w:p>
    <w:p w:rsidR="00D94294" w:rsidRPr="001C7BF6" w:rsidRDefault="00D94294" w:rsidP="00D94294">
      <w:pPr>
        <w:jc w:val="both"/>
        <w:rPr>
          <w:rFonts w:ascii="Book Antiqua" w:hAnsi="Book Antiqua"/>
          <w:sz w:val="28"/>
          <w:szCs w:val="28"/>
        </w:rPr>
      </w:pPr>
      <w:r>
        <w:rPr>
          <w:rFonts w:ascii="Book Antiqua" w:hAnsi="Book Antiqua"/>
          <w:b/>
          <w:sz w:val="28"/>
          <w:szCs w:val="28"/>
        </w:rPr>
        <w:t xml:space="preserve">De Janvier </w:t>
      </w:r>
      <w:r w:rsidR="0022699B">
        <w:rPr>
          <w:rFonts w:ascii="Book Antiqua" w:hAnsi="Book Antiqua"/>
          <w:b/>
          <w:sz w:val="28"/>
          <w:szCs w:val="28"/>
        </w:rPr>
        <w:t xml:space="preserve"> </w:t>
      </w:r>
      <w:r>
        <w:rPr>
          <w:rFonts w:ascii="Book Antiqua" w:hAnsi="Book Antiqua"/>
          <w:b/>
          <w:sz w:val="28"/>
          <w:szCs w:val="28"/>
        </w:rPr>
        <w:t xml:space="preserve">2019 </w:t>
      </w:r>
      <w:r w:rsidRPr="005456D6">
        <w:rPr>
          <w:rFonts w:ascii="Book Antiqua" w:hAnsi="Book Antiqua"/>
          <w:b/>
          <w:sz w:val="28"/>
          <w:szCs w:val="28"/>
        </w:rPr>
        <w:t xml:space="preserve">à </w:t>
      </w:r>
      <w:r>
        <w:rPr>
          <w:rFonts w:ascii="Book Antiqua" w:hAnsi="Book Antiqua"/>
          <w:b/>
          <w:sz w:val="28"/>
          <w:szCs w:val="28"/>
        </w:rPr>
        <w:t>Décembre</w:t>
      </w:r>
      <w:r w:rsidRPr="005456D6">
        <w:rPr>
          <w:rFonts w:ascii="Book Antiqua" w:hAnsi="Book Antiqua"/>
          <w:b/>
          <w:sz w:val="28"/>
          <w:szCs w:val="28"/>
        </w:rPr>
        <w:t xml:space="preserve"> 201</w:t>
      </w:r>
      <w:r>
        <w:rPr>
          <w:rFonts w:ascii="Book Antiqua" w:hAnsi="Book Antiqua"/>
          <w:b/>
          <w:sz w:val="28"/>
          <w:szCs w:val="28"/>
        </w:rPr>
        <w:t>9</w:t>
      </w:r>
      <w:r w:rsidRPr="005456D6">
        <w:rPr>
          <w:rFonts w:ascii="Book Antiqua" w:hAnsi="Book Antiqua"/>
          <w:sz w:val="28"/>
          <w:szCs w:val="28"/>
        </w:rPr>
        <w:t>,</w:t>
      </w:r>
      <w:r w:rsidR="0022699B">
        <w:rPr>
          <w:rFonts w:ascii="Book Antiqua" w:hAnsi="Book Antiqua"/>
          <w:sz w:val="28"/>
          <w:szCs w:val="28"/>
        </w:rPr>
        <w:t>Les</w:t>
      </w:r>
      <w:r w:rsidRPr="005456D6">
        <w:rPr>
          <w:rFonts w:ascii="Book Antiqua" w:hAnsi="Book Antiqua"/>
          <w:sz w:val="28"/>
          <w:szCs w:val="28"/>
        </w:rPr>
        <w:t xml:space="preserve"> </w:t>
      </w:r>
      <w:r>
        <w:rPr>
          <w:rFonts w:ascii="Book Antiqua" w:hAnsi="Book Antiqua"/>
          <w:sz w:val="28"/>
          <w:szCs w:val="28"/>
        </w:rPr>
        <w:t>03 Paires Educateurs</w:t>
      </w:r>
      <w:r w:rsidR="0022699B">
        <w:rPr>
          <w:rFonts w:ascii="Book Antiqua" w:hAnsi="Book Antiqua"/>
          <w:sz w:val="28"/>
          <w:szCs w:val="28"/>
        </w:rPr>
        <w:t xml:space="preserve"> (PE)</w:t>
      </w:r>
      <w:r>
        <w:rPr>
          <w:rFonts w:ascii="Book Antiqua" w:hAnsi="Book Antiqua"/>
          <w:sz w:val="28"/>
          <w:szCs w:val="28"/>
        </w:rPr>
        <w:t xml:space="preserve"> HSH du centre communautaire de Conakry, on organiser 110 </w:t>
      </w:r>
      <w:r w:rsidRPr="005456D6">
        <w:rPr>
          <w:rFonts w:ascii="Book Antiqua" w:hAnsi="Book Antiqua"/>
          <w:sz w:val="28"/>
          <w:szCs w:val="28"/>
        </w:rPr>
        <w:t>activités de causeries éducatives (CE)</w:t>
      </w:r>
      <w:r>
        <w:rPr>
          <w:rFonts w:ascii="Book Antiqua" w:hAnsi="Book Antiqua"/>
          <w:sz w:val="28"/>
          <w:szCs w:val="28"/>
        </w:rPr>
        <w:t xml:space="preserve"> qui ont</w:t>
      </w:r>
      <w:r w:rsidRPr="005456D6">
        <w:rPr>
          <w:rFonts w:ascii="Book Antiqua" w:hAnsi="Book Antiqua"/>
          <w:sz w:val="28"/>
          <w:szCs w:val="28"/>
        </w:rPr>
        <w:t xml:space="preserve"> permit</w:t>
      </w:r>
      <w:r>
        <w:rPr>
          <w:rFonts w:ascii="Book Antiqua" w:hAnsi="Book Antiqua"/>
          <w:sz w:val="28"/>
          <w:szCs w:val="28"/>
        </w:rPr>
        <w:t xml:space="preserve"> de distribuer 7238 préservatifs masculin,  , 10624 lubrifiants et toucher</w:t>
      </w:r>
      <w:r w:rsidRPr="005456D6">
        <w:rPr>
          <w:rFonts w:ascii="Book Antiqua" w:hAnsi="Book Antiqua"/>
          <w:sz w:val="28"/>
          <w:szCs w:val="28"/>
        </w:rPr>
        <w:t xml:space="preserve"> </w:t>
      </w:r>
      <w:r>
        <w:rPr>
          <w:rFonts w:ascii="Book Antiqua" w:hAnsi="Book Antiqua"/>
          <w:sz w:val="28"/>
          <w:szCs w:val="28"/>
        </w:rPr>
        <w:t>293 PC</w:t>
      </w:r>
      <w:r w:rsidRPr="005456D6">
        <w:rPr>
          <w:rFonts w:ascii="Book Antiqua" w:hAnsi="Book Antiqua"/>
          <w:sz w:val="28"/>
          <w:szCs w:val="28"/>
        </w:rPr>
        <w:t xml:space="preserve"> </w:t>
      </w:r>
      <w:r>
        <w:rPr>
          <w:rFonts w:ascii="Book Antiqua" w:hAnsi="Book Antiqua"/>
          <w:sz w:val="28"/>
          <w:szCs w:val="28"/>
        </w:rPr>
        <w:t>et 270 parmi eux ont accepté</w:t>
      </w:r>
      <w:r w:rsidRPr="005456D6">
        <w:rPr>
          <w:rFonts w:ascii="Book Antiqua" w:hAnsi="Book Antiqua"/>
          <w:sz w:val="28"/>
          <w:szCs w:val="28"/>
        </w:rPr>
        <w:t xml:space="preserve"> le counsiling</w:t>
      </w:r>
      <w:r>
        <w:rPr>
          <w:rFonts w:ascii="Book Antiqua" w:hAnsi="Book Antiqua"/>
          <w:sz w:val="28"/>
          <w:szCs w:val="28"/>
        </w:rPr>
        <w:t xml:space="preserve"> de groupe,</w:t>
      </w:r>
      <w:r w:rsidRPr="005456D6">
        <w:rPr>
          <w:rFonts w:ascii="Book Antiqua" w:hAnsi="Book Antiqua"/>
          <w:sz w:val="28"/>
          <w:szCs w:val="28"/>
        </w:rPr>
        <w:t xml:space="preserve"> </w:t>
      </w:r>
      <w:r>
        <w:rPr>
          <w:rFonts w:ascii="Book Antiqua" w:hAnsi="Book Antiqua"/>
          <w:sz w:val="28"/>
          <w:szCs w:val="28"/>
        </w:rPr>
        <w:t>parmi-eux 34</w:t>
      </w:r>
      <w:r w:rsidRPr="005456D6">
        <w:rPr>
          <w:rFonts w:ascii="Book Antiqua" w:hAnsi="Book Antiqua"/>
          <w:sz w:val="28"/>
          <w:szCs w:val="28"/>
        </w:rPr>
        <w:t xml:space="preserve"> </w:t>
      </w:r>
      <w:r>
        <w:rPr>
          <w:rFonts w:ascii="Book Antiqua" w:hAnsi="Book Antiqua"/>
          <w:sz w:val="28"/>
          <w:szCs w:val="28"/>
        </w:rPr>
        <w:t>étaient positifs au test du VIH soit 12,59</w:t>
      </w:r>
      <w:r w:rsidRPr="005456D6">
        <w:rPr>
          <w:rFonts w:ascii="Book Antiqua" w:hAnsi="Book Antiqua"/>
          <w:sz w:val="28"/>
          <w:szCs w:val="28"/>
        </w:rPr>
        <w:t>% (</w:t>
      </w:r>
      <w:r w:rsidR="00A40DD7">
        <w:rPr>
          <w:rFonts w:ascii="Book Antiqua" w:hAnsi="Book Antiqua"/>
          <w:sz w:val="28"/>
          <w:szCs w:val="28"/>
        </w:rPr>
        <w:t>N</w:t>
      </w:r>
      <w:r w:rsidRPr="005456D6">
        <w:rPr>
          <w:rFonts w:ascii="Book Antiqua" w:hAnsi="Book Antiqua"/>
          <w:sz w:val="28"/>
          <w:szCs w:val="28"/>
        </w:rPr>
        <w:t xml:space="preserve">= </w:t>
      </w:r>
      <w:r w:rsidR="009F1BB7">
        <w:rPr>
          <w:rFonts w:ascii="Book Antiqua" w:hAnsi="Book Antiqua"/>
          <w:sz w:val="28"/>
          <w:szCs w:val="28"/>
        </w:rPr>
        <w:t>270</w:t>
      </w:r>
      <w:r w:rsidRPr="005456D6">
        <w:rPr>
          <w:rFonts w:ascii="Book Antiqua" w:hAnsi="Book Antiqua"/>
          <w:sz w:val="28"/>
          <w:szCs w:val="28"/>
        </w:rPr>
        <w:t>),</w:t>
      </w:r>
      <w:r w:rsidR="0022699B">
        <w:rPr>
          <w:rFonts w:ascii="Book Antiqua" w:hAnsi="Book Antiqua"/>
          <w:sz w:val="28"/>
          <w:szCs w:val="28"/>
        </w:rPr>
        <w:t xml:space="preserve"> et seulement </w:t>
      </w:r>
      <w:r w:rsidR="00E7209F">
        <w:rPr>
          <w:rFonts w:ascii="Book Antiqua" w:hAnsi="Book Antiqua"/>
          <w:sz w:val="28"/>
          <w:szCs w:val="28"/>
        </w:rPr>
        <w:t>19</w:t>
      </w:r>
      <w:r w:rsidR="0022699B">
        <w:rPr>
          <w:rFonts w:ascii="Book Antiqua" w:hAnsi="Book Antiqua"/>
          <w:sz w:val="28"/>
          <w:szCs w:val="28"/>
        </w:rPr>
        <w:t xml:space="preserve"> ont accepté d’être sous TARV après les counsiling</w:t>
      </w:r>
      <w:r w:rsidR="00A40DD7">
        <w:rPr>
          <w:rFonts w:ascii="Book Antiqua" w:hAnsi="Book Antiqua"/>
          <w:sz w:val="28"/>
          <w:szCs w:val="28"/>
        </w:rPr>
        <w:t xml:space="preserve"> soit 55,88</w:t>
      </w:r>
      <w:r w:rsidR="00A40DD7" w:rsidRPr="005456D6">
        <w:rPr>
          <w:rFonts w:ascii="Book Antiqua" w:hAnsi="Book Antiqua"/>
          <w:sz w:val="28"/>
          <w:szCs w:val="28"/>
        </w:rPr>
        <w:t xml:space="preserve">% (n= </w:t>
      </w:r>
      <w:r w:rsidR="00A40DD7">
        <w:rPr>
          <w:rFonts w:ascii="Book Antiqua" w:hAnsi="Book Antiqua"/>
          <w:sz w:val="28"/>
          <w:szCs w:val="28"/>
        </w:rPr>
        <w:t>34)</w:t>
      </w:r>
      <w:r w:rsidR="0022699B">
        <w:rPr>
          <w:rFonts w:ascii="Book Antiqua" w:hAnsi="Book Antiqua"/>
          <w:sz w:val="28"/>
          <w:szCs w:val="28"/>
        </w:rPr>
        <w:t>;</w:t>
      </w:r>
      <w:r w:rsidRPr="005456D6">
        <w:rPr>
          <w:rFonts w:ascii="Book Antiqua" w:hAnsi="Book Antiqua"/>
          <w:sz w:val="28"/>
          <w:szCs w:val="28"/>
        </w:rPr>
        <w:t xml:space="preserve"> les principaux facteurs de cette déperdition résident (i) dans la disponibilité des agents à l’égard des PC prétextant la gratuite des </w:t>
      </w:r>
      <w:r>
        <w:rPr>
          <w:rFonts w:ascii="Book Antiqua" w:hAnsi="Book Antiqua"/>
          <w:sz w:val="28"/>
          <w:szCs w:val="28"/>
        </w:rPr>
        <w:t>ARV</w:t>
      </w:r>
      <w:r w:rsidRPr="005456D6">
        <w:rPr>
          <w:rFonts w:ascii="Book Antiqua" w:hAnsi="Book Antiqua"/>
          <w:sz w:val="28"/>
          <w:szCs w:val="28"/>
        </w:rPr>
        <w:t xml:space="preserve"> a leur titre, (ii) la stigmatisation venant des agents de santé des CSA qui emmène les PC a ne pas fréquenté les centres ou à ne pas comme t’elle a leur arriver dans les centres (iii)  les frais de transport des sites de fréquentation des PC ( où souvent se tiennent les CE) vers les CSA </w:t>
      </w:r>
      <w:r>
        <w:rPr>
          <w:rFonts w:ascii="Book Antiqua" w:hAnsi="Book Antiqua"/>
          <w:sz w:val="28"/>
          <w:szCs w:val="28"/>
        </w:rPr>
        <w:t>non couvert et (iv) les rupture ARV sont</w:t>
      </w:r>
      <w:r w:rsidRPr="005456D6">
        <w:rPr>
          <w:rFonts w:ascii="Book Antiqua" w:hAnsi="Book Antiqua"/>
          <w:sz w:val="28"/>
          <w:szCs w:val="28"/>
        </w:rPr>
        <w:t xml:space="preserve"> souvent constater sur certaines sites.</w:t>
      </w:r>
    </w:p>
    <w:p w:rsidR="00D94294" w:rsidRPr="00432F02" w:rsidRDefault="00D94294" w:rsidP="00D94294">
      <w:pPr>
        <w:jc w:val="both"/>
        <w:rPr>
          <w:rFonts w:ascii="Book Antiqua" w:hAnsi="Book Antiqua"/>
          <w:b/>
          <w:sz w:val="28"/>
          <w:szCs w:val="28"/>
        </w:rPr>
      </w:pPr>
      <w:r w:rsidRPr="00432F02">
        <w:rPr>
          <w:rFonts w:ascii="Book Antiqua" w:hAnsi="Book Antiqua"/>
          <w:b/>
          <w:sz w:val="28"/>
          <w:szCs w:val="28"/>
        </w:rPr>
        <w:t>LEÇONS APPRISE :</w:t>
      </w:r>
    </w:p>
    <w:p w:rsidR="00D94294" w:rsidRDefault="00D94294" w:rsidP="00D94294">
      <w:pPr>
        <w:jc w:val="both"/>
        <w:rPr>
          <w:rFonts w:ascii="Book Antiqua" w:hAnsi="Book Antiqua"/>
          <w:sz w:val="28"/>
          <w:szCs w:val="28"/>
        </w:rPr>
      </w:pPr>
      <w:r w:rsidRPr="005456D6">
        <w:rPr>
          <w:rFonts w:ascii="Book Antiqua" w:hAnsi="Book Antiqua"/>
          <w:sz w:val="28"/>
          <w:szCs w:val="28"/>
        </w:rPr>
        <w:t>En dépit des formations préalables des agents de santé des CSA sur les codes d’éthique et de droit humain, les comportements de stigmatisation et de discrimination à l’égard des PC subsistent. En outre l’approvisionnement régulier des sites en intrant de dépistage demeure primordial pour ne pas freiner la dynamique engagée.</w:t>
      </w:r>
    </w:p>
    <w:p w:rsidR="00D94294" w:rsidRPr="005456D6" w:rsidRDefault="00D94294" w:rsidP="00D94294">
      <w:pPr>
        <w:jc w:val="both"/>
        <w:rPr>
          <w:rFonts w:ascii="Book Antiqua" w:hAnsi="Book Antiqua"/>
          <w:sz w:val="28"/>
          <w:szCs w:val="28"/>
        </w:rPr>
      </w:pPr>
    </w:p>
    <w:p w:rsidR="009F1BB7" w:rsidRDefault="009F1BB7" w:rsidP="00D94294">
      <w:pPr>
        <w:rPr>
          <w:rFonts w:ascii="Book Antiqua" w:hAnsi="Book Antiqua"/>
          <w:b/>
          <w:sz w:val="28"/>
          <w:szCs w:val="28"/>
          <w:u w:val="single"/>
        </w:rPr>
      </w:pPr>
      <w:r>
        <w:rPr>
          <w:rFonts w:ascii="Book Antiqua" w:hAnsi="Book Antiqua"/>
          <w:b/>
          <w:noProof/>
          <w:sz w:val="28"/>
          <w:szCs w:val="28"/>
          <w:u w:val="single"/>
          <w:lang w:eastAsia="fr-FR"/>
        </w:rPr>
        <w:drawing>
          <wp:inline distT="0" distB="0" distL="0" distR="0">
            <wp:extent cx="5467350" cy="2664372"/>
            <wp:effectExtent l="1905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94294" w:rsidRDefault="00D94294" w:rsidP="00D94294">
      <w:pPr>
        <w:rPr>
          <w:rFonts w:ascii="Book Antiqua" w:hAnsi="Book Antiqua"/>
          <w:sz w:val="28"/>
          <w:szCs w:val="28"/>
        </w:rPr>
      </w:pPr>
      <w:r w:rsidRPr="00FC1114">
        <w:rPr>
          <w:rFonts w:ascii="Book Antiqua" w:hAnsi="Book Antiqua"/>
          <w:b/>
          <w:sz w:val="28"/>
          <w:szCs w:val="28"/>
          <w:u w:val="single"/>
        </w:rPr>
        <w:t>Graphique I :</w:t>
      </w:r>
      <w:r>
        <w:rPr>
          <w:rFonts w:ascii="Book Antiqua" w:hAnsi="Book Antiqua"/>
          <w:sz w:val="28"/>
          <w:szCs w:val="28"/>
        </w:rPr>
        <w:t xml:space="preserve"> donnés des activités de causeries, le nombre de PC  touché,  le no</w:t>
      </w:r>
      <w:r w:rsidR="00E7209F">
        <w:rPr>
          <w:rFonts w:ascii="Book Antiqua" w:hAnsi="Book Antiqua"/>
          <w:sz w:val="28"/>
          <w:szCs w:val="28"/>
        </w:rPr>
        <w:t xml:space="preserve">mbre de lubrifiants distribués, </w:t>
      </w:r>
      <w:r>
        <w:rPr>
          <w:rFonts w:ascii="Book Antiqua" w:hAnsi="Book Antiqua"/>
          <w:sz w:val="28"/>
          <w:szCs w:val="28"/>
        </w:rPr>
        <w:t xml:space="preserve">le nombre de préservatifs distribués </w:t>
      </w:r>
      <w:r w:rsidR="00E7209F">
        <w:rPr>
          <w:rFonts w:ascii="Book Antiqua" w:hAnsi="Book Antiqua"/>
          <w:sz w:val="28"/>
          <w:szCs w:val="28"/>
        </w:rPr>
        <w:t>au cours de l’année 2020.</w:t>
      </w:r>
    </w:p>
    <w:p w:rsidR="00A81BBC" w:rsidRPr="00B87927" w:rsidRDefault="00A81BBC" w:rsidP="00D94294">
      <w:pPr>
        <w:rPr>
          <w:rFonts w:ascii="Book Antiqua" w:hAnsi="Book Antiqua"/>
          <w:sz w:val="28"/>
          <w:szCs w:val="28"/>
        </w:rPr>
      </w:pPr>
      <w:r>
        <w:rPr>
          <w:rFonts w:ascii="Book Antiqua" w:hAnsi="Book Antiqua"/>
          <w:noProof/>
          <w:sz w:val="28"/>
          <w:szCs w:val="28"/>
          <w:lang w:eastAsia="fr-FR"/>
        </w:rPr>
        <w:drawing>
          <wp:inline distT="0" distB="0" distL="0" distR="0">
            <wp:extent cx="5486400" cy="3200400"/>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94294" w:rsidRDefault="00D94294" w:rsidP="00D94294">
      <w:pPr>
        <w:rPr>
          <w:rFonts w:ascii="Book Antiqua" w:hAnsi="Book Antiqua"/>
          <w:b/>
          <w:sz w:val="28"/>
          <w:szCs w:val="28"/>
          <w:u w:val="single"/>
        </w:rPr>
      </w:pPr>
    </w:p>
    <w:p w:rsidR="00D94294" w:rsidRPr="00927B1F" w:rsidRDefault="00A37E30" w:rsidP="00D94294">
      <w:pPr>
        <w:rPr>
          <w:rFonts w:ascii="Book Antiqua" w:hAnsi="Book Antiqua"/>
          <w:b/>
          <w:sz w:val="28"/>
          <w:szCs w:val="28"/>
        </w:rPr>
      </w:pPr>
      <w:r w:rsidRPr="00FC1114">
        <w:rPr>
          <w:rFonts w:ascii="Book Antiqua" w:hAnsi="Book Antiqua"/>
          <w:b/>
          <w:sz w:val="28"/>
          <w:szCs w:val="28"/>
          <w:u w:val="single"/>
        </w:rPr>
        <w:t>Graphique I</w:t>
      </w:r>
      <w:r>
        <w:rPr>
          <w:rFonts w:ascii="Book Antiqua" w:hAnsi="Book Antiqua"/>
          <w:b/>
          <w:sz w:val="28"/>
          <w:szCs w:val="28"/>
          <w:u w:val="single"/>
        </w:rPr>
        <w:t>I</w:t>
      </w:r>
      <w:r w:rsidRPr="00FC1114">
        <w:rPr>
          <w:rFonts w:ascii="Book Antiqua" w:hAnsi="Book Antiqua"/>
          <w:b/>
          <w:sz w:val="28"/>
          <w:szCs w:val="28"/>
          <w:u w:val="single"/>
        </w:rPr>
        <w:t> :</w:t>
      </w:r>
      <w:r>
        <w:rPr>
          <w:rFonts w:ascii="Book Antiqua" w:hAnsi="Book Antiqua"/>
          <w:sz w:val="28"/>
          <w:szCs w:val="28"/>
        </w:rPr>
        <w:t xml:space="preserve"> </w:t>
      </w:r>
      <w:r w:rsidR="00D94294" w:rsidRPr="00927B1F">
        <w:rPr>
          <w:rFonts w:ascii="Book Antiqua" w:hAnsi="Book Antiqua"/>
          <w:sz w:val="28"/>
          <w:szCs w:val="28"/>
        </w:rPr>
        <w:t xml:space="preserve">pourcentage </w:t>
      </w:r>
      <w:r w:rsidR="00D94294">
        <w:rPr>
          <w:rFonts w:ascii="Book Antiqua" w:hAnsi="Book Antiqua"/>
          <w:sz w:val="28"/>
          <w:szCs w:val="28"/>
        </w:rPr>
        <w:t xml:space="preserve">de positivité </w:t>
      </w:r>
      <w:r w:rsidR="00D94294" w:rsidRPr="00927B1F">
        <w:rPr>
          <w:rFonts w:ascii="Book Antiqua" w:hAnsi="Book Antiqua"/>
          <w:sz w:val="28"/>
          <w:szCs w:val="28"/>
        </w:rPr>
        <w:t xml:space="preserve"> du test du VIH/SIDA des  </w:t>
      </w:r>
      <w:r>
        <w:rPr>
          <w:rFonts w:ascii="Book Antiqua" w:hAnsi="Book Antiqua"/>
          <w:sz w:val="28"/>
          <w:szCs w:val="28"/>
        </w:rPr>
        <w:t xml:space="preserve">PC HSH </w:t>
      </w:r>
      <w:r w:rsidR="00D94294" w:rsidRPr="00927B1F">
        <w:rPr>
          <w:rFonts w:ascii="Book Antiqua" w:hAnsi="Book Antiqua"/>
          <w:sz w:val="28"/>
          <w:szCs w:val="28"/>
        </w:rPr>
        <w:t xml:space="preserve"> de </w:t>
      </w:r>
      <w:r w:rsidR="00D94294" w:rsidRPr="004E3E87">
        <w:rPr>
          <w:rFonts w:ascii="Book Antiqua" w:hAnsi="Book Antiqua"/>
          <w:sz w:val="28"/>
          <w:szCs w:val="28"/>
        </w:rPr>
        <w:t>Janvier 20</w:t>
      </w:r>
      <w:r>
        <w:rPr>
          <w:rFonts w:ascii="Book Antiqua" w:hAnsi="Book Antiqua"/>
          <w:sz w:val="28"/>
          <w:szCs w:val="28"/>
        </w:rPr>
        <w:t>20</w:t>
      </w:r>
      <w:r w:rsidR="00D94294" w:rsidRPr="004E3E87">
        <w:rPr>
          <w:rFonts w:ascii="Book Antiqua" w:hAnsi="Book Antiqua"/>
          <w:sz w:val="28"/>
          <w:szCs w:val="28"/>
        </w:rPr>
        <w:t xml:space="preserve"> à </w:t>
      </w:r>
      <w:r>
        <w:rPr>
          <w:rFonts w:ascii="Book Antiqua" w:hAnsi="Book Antiqua"/>
          <w:sz w:val="28"/>
          <w:szCs w:val="28"/>
        </w:rPr>
        <w:t xml:space="preserve">Décembre </w:t>
      </w:r>
      <w:r w:rsidR="00D94294" w:rsidRPr="004E3E87">
        <w:rPr>
          <w:rFonts w:ascii="Book Antiqua" w:hAnsi="Book Antiqua"/>
          <w:sz w:val="28"/>
          <w:szCs w:val="28"/>
        </w:rPr>
        <w:t xml:space="preserve"> 20</w:t>
      </w:r>
      <w:r>
        <w:rPr>
          <w:rFonts w:ascii="Book Antiqua" w:hAnsi="Book Antiqua"/>
          <w:sz w:val="28"/>
          <w:szCs w:val="28"/>
        </w:rPr>
        <w:t>20</w:t>
      </w:r>
    </w:p>
    <w:p w:rsidR="00D94294" w:rsidRPr="00432F02" w:rsidRDefault="00D94294" w:rsidP="00D94294">
      <w:pPr>
        <w:jc w:val="both"/>
        <w:rPr>
          <w:rFonts w:ascii="Book Antiqua" w:hAnsi="Book Antiqua"/>
          <w:b/>
          <w:sz w:val="28"/>
          <w:szCs w:val="28"/>
        </w:rPr>
      </w:pPr>
      <w:r w:rsidRPr="00432F02">
        <w:rPr>
          <w:rFonts w:ascii="Book Antiqua" w:hAnsi="Book Antiqua"/>
          <w:b/>
          <w:sz w:val="28"/>
          <w:szCs w:val="28"/>
        </w:rPr>
        <w:t>PROCHAINES ETAPES :</w:t>
      </w:r>
    </w:p>
    <w:p w:rsidR="00D94294" w:rsidRPr="005456D6" w:rsidRDefault="00D94294" w:rsidP="00D94294">
      <w:pPr>
        <w:jc w:val="both"/>
        <w:rPr>
          <w:rFonts w:ascii="Book Antiqua" w:hAnsi="Book Antiqua"/>
          <w:sz w:val="28"/>
          <w:szCs w:val="28"/>
        </w:rPr>
      </w:pPr>
      <w:r w:rsidRPr="005456D6">
        <w:rPr>
          <w:rFonts w:ascii="Book Antiqua" w:hAnsi="Book Antiqua"/>
          <w:sz w:val="28"/>
          <w:szCs w:val="28"/>
        </w:rPr>
        <w:t xml:space="preserve">Coupler à CE réalisée au niveau des sites de fréquentation des HSH et des PS, une stratégie mobile de </w:t>
      </w:r>
      <w:r>
        <w:rPr>
          <w:rFonts w:ascii="Book Antiqua" w:hAnsi="Book Antiqua"/>
          <w:sz w:val="28"/>
          <w:szCs w:val="28"/>
        </w:rPr>
        <w:t>PEC ARV</w:t>
      </w:r>
      <w:r w:rsidRPr="005456D6">
        <w:rPr>
          <w:rFonts w:ascii="Book Antiqua" w:hAnsi="Book Antiqua"/>
          <w:sz w:val="28"/>
          <w:szCs w:val="28"/>
        </w:rPr>
        <w:t xml:space="preserve"> et assurer des supervisions </w:t>
      </w:r>
      <w:r w:rsidRPr="005456D6">
        <w:rPr>
          <w:rFonts w:ascii="Book Antiqua" w:hAnsi="Book Antiqua"/>
          <w:sz w:val="28"/>
          <w:szCs w:val="28"/>
        </w:rPr>
        <w:lastRenderedPageBreak/>
        <w:t xml:space="preserve">formative des agents de santé sur les aspects de lutte contre la stigmatisation. </w:t>
      </w:r>
    </w:p>
    <w:p w:rsidR="00D94294" w:rsidRPr="005456D6" w:rsidRDefault="00D94294" w:rsidP="00D94294">
      <w:pPr>
        <w:spacing w:after="0"/>
        <w:jc w:val="both"/>
        <w:rPr>
          <w:rFonts w:ascii="Book Antiqua" w:hAnsi="Book Antiqua"/>
          <w:b/>
          <w:sz w:val="28"/>
          <w:szCs w:val="28"/>
        </w:rPr>
      </w:pPr>
      <w:r w:rsidRPr="005456D6">
        <w:rPr>
          <w:rFonts w:ascii="Book Antiqua" w:hAnsi="Book Antiqua"/>
          <w:b/>
          <w:sz w:val="28"/>
          <w:szCs w:val="28"/>
        </w:rPr>
        <w:t>Contact :</w:t>
      </w:r>
    </w:p>
    <w:p w:rsidR="00A81BBC" w:rsidRDefault="00A81BBC" w:rsidP="00D94294">
      <w:pPr>
        <w:spacing w:after="0" w:line="240" w:lineRule="auto"/>
        <w:jc w:val="both"/>
        <w:rPr>
          <w:rFonts w:ascii="Book Antiqua" w:hAnsi="Book Antiqua"/>
          <w:b/>
          <w:sz w:val="28"/>
          <w:szCs w:val="28"/>
        </w:rPr>
      </w:pPr>
      <w:r>
        <w:rPr>
          <w:rFonts w:ascii="Book Antiqua" w:hAnsi="Book Antiqua"/>
          <w:b/>
          <w:sz w:val="28"/>
          <w:szCs w:val="28"/>
        </w:rPr>
        <w:t>CAMARA Ousmane Germain</w:t>
      </w:r>
      <w:r w:rsidR="00D94294">
        <w:rPr>
          <w:rFonts w:ascii="Book Antiqua" w:hAnsi="Book Antiqua"/>
          <w:b/>
          <w:sz w:val="28"/>
          <w:szCs w:val="28"/>
        </w:rPr>
        <w:t xml:space="preserve">, </w:t>
      </w:r>
    </w:p>
    <w:p w:rsidR="00D94294" w:rsidRPr="005456D6" w:rsidRDefault="00A81BBC" w:rsidP="00D94294">
      <w:pPr>
        <w:spacing w:after="0" w:line="240" w:lineRule="auto"/>
        <w:jc w:val="both"/>
        <w:rPr>
          <w:rFonts w:ascii="Book Antiqua" w:hAnsi="Book Antiqua"/>
          <w:b/>
          <w:sz w:val="28"/>
          <w:szCs w:val="28"/>
        </w:rPr>
      </w:pPr>
      <w:r>
        <w:rPr>
          <w:rFonts w:ascii="Book Antiqua" w:hAnsi="Book Antiqua"/>
          <w:b/>
          <w:sz w:val="28"/>
          <w:szCs w:val="28"/>
        </w:rPr>
        <w:t>Président d’Afrique arc-en ciel Guinée</w:t>
      </w:r>
      <w:r w:rsidR="00D94294">
        <w:rPr>
          <w:rFonts w:ascii="Book Antiqua" w:hAnsi="Book Antiqua"/>
          <w:b/>
          <w:sz w:val="28"/>
          <w:szCs w:val="28"/>
        </w:rPr>
        <w:t xml:space="preserve"> (A</w:t>
      </w:r>
      <w:r>
        <w:rPr>
          <w:rFonts w:ascii="Book Antiqua" w:hAnsi="Book Antiqua"/>
          <w:b/>
          <w:sz w:val="28"/>
          <w:szCs w:val="28"/>
        </w:rPr>
        <w:t>AECG</w:t>
      </w:r>
      <w:r w:rsidR="00D94294">
        <w:rPr>
          <w:rFonts w:ascii="Book Antiqua" w:hAnsi="Book Antiqua"/>
          <w:b/>
          <w:sz w:val="28"/>
          <w:szCs w:val="28"/>
        </w:rPr>
        <w:t>)</w:t>
      </w:r>
    </w:p>
    <w:p w:rsidR="00D94294" w:rsidRPr="005456D6" w:rsidRDefault="00D94294" w:rsidP="00D94294">
      <w:pPr>
        <w:spacing w:after="0" w:line="240" w:lineRule="auto"/>
        <w:jc w:val="both"/>
        <w:rPr>
          <w:rFonts w:ascii="Book Antiqua" w:hAnsi="Book Antiqua"/>
          <w:b/>
          <w:sz w:val="28"/>
          <w:szCs w:val="28"/>
        </w:rPr>
      </w:pPr>
      <w:r w:rsidRPr="005456D6">
        <w:rPr>
          <w:rFonts w:ascii="Book Antiqua" w:hAnsi="Book Antiqua"/>
          <w:b/>
          <w:sz w:val="28"/>
          <w:szCs w:val="28"/>
        </w:rPr>
        <w:t>Tel : +224</w:t>
      </w:r>
      <w:r>
        <w:rPr>
          <w:rFonts w:ascii="Book Antiqua" w:hAnsi="Book Antiqua"/>
          <w:b/>
          <w:sz w:val="28"/>
          <w:szCs w:val="28"/>
        </w:rPr>
        <w:t xml:space="preserve">  </w:t>
      </w:r>
      <w:r w:rsidR="0034420B">
        <w:rPr>
          <w:rFonts w:ascii="Book Antiqua" w:hAnsi="Book Antiqua"/>
          <w:b/>
          <w:sz w:val="28"/>
          <w:szCs w:val="28"/>
        </w:rPr>
        <w:t>620 56 23 17</w:t>
      </w:r>
    </w:p>
    <w:p w:rsidR="0034420B" w:rsidRDefault="00D94294" w:rsidP="0034420B">
      <w:r w:rsidRPr="005456D6">
        <w:rPr>
          <w:rFonts w:ascii="Book Antiqua" w:hAnsi="Book Antiqua"/>
          <w:b/>
          <w:sz w:val="28"/>
          <w:szCs w:val="28"/>
        </w:rPr>
        <w:t>Mail :</w:t>
      </w:r>
      <w:r w:rsidRPr="0034420B">
        <w:rPr>
          <w:rFonts w:ascii="Book Antiqua" w:hAnsi="Book Antiqua"/>
          <w:b/>
          <w:sz w:val="36"/>
          <w:szCs w:val="28"/>
        </w:rPr>
        <w:t xml:space="preserve"> </w:t>
      </w:r>
      <w:hyperlink r:id="rId9" w:history="1"/>
      <w:r w:rsidRPr="0034420B">
        <w:rPr>
          <w:sz w:val="28"/>
        </w:rPr>
        <w:t xml:space="preserve"> </w:t>
      </w:r>
      <w:hyperlink r:id="rId10" w:history="1">
        <w:r w:rsidR="0034420B" w:rsidRPr="0034420B">
          <w:rPr>
            <w:rStyle w:val="Lienhypertexte"/>
            <w:b/>
            <w:sz w:val="28"/>
          </w:rPr>
          <w:t>camaragermain73@gmail.com</w:t>
        </w:r>
      </w:hyperlink>
    </w:p>
    <w:p w:rsidR="005D77B5" w:rsidRPr="00B65B17" w:rsidRDefault="00D94294" w:rsidP="005D77B5">
      <w:pPr>
        <w:spacing w:after="0" w:line="240" w:lineRule="auto"/>
        <w:jc w:val="both"/>
        <w:rPr>
          <w:rFonts w:ascii="Times New Roman" w:hAnsi="Times New Roman" w:cs="Times New Roman"/>
          <w:color w:val="000000" w:themeColor="text1"/>
          <w:sz w:val="28"/>
          <w:szCs w:val="28"/>
        </w:rPr>
      </w:pPr>
      <w:r>
        <w:rPr>
          <w:sz w:val="28"/>
        </w:rPr>
        <w:t xml:space="preserve"> </w:t>
      </w:r>
      <w:r w:rsidR="0034420B">
        <w:t xml:space="preserve"> </w:t>
      </w:r>
      <w:r w:rsidR="005D77B5">
        <w:rPr>
          <w:rFonts w:ascii="Book Antiqua" w:hAnsi="Book Antiqua"/>
          <w:b/>
          <w:sz w:val="28"/>
          <w:szCs w:val="28"/>
        </w:rPr>
        <w:t xml:space="preserve"> </w:t>
      </w:r>
    </w:p>
    <w:p w:rsidR="005D77B5" w:rsidRPr="00B65B17" w:rsidRDefault="005D77B5" w:rsidP="005D77B5">
      <w:pPr>
        <w:shd w:val="clear" w:color="auto" w:fill="FFFFFF" w:themeFill="background1"/>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5D77B5" w:rsidRPr="00B65B17" w:rsidRDefault="005D77B5" w:rsidP="005D77B5">
      <w:pPr>
        <w:shd w:val="clear" w:color="auto" w:fill="FFFFFF" w:themeFill="background1"/>
        <w:spacing w:after="0" w:line="360" w:lineRule="auto"/>
        <w:jc w:val="both"/>
        <w:rPr>
          <w:rFonts w:ascii="Times New Roman" w:hAnsi="Times New Roman" w:cs="Times New Roman"/>
          <w:b/>
          <w:sz w:val="28"/>
          <w:szCs w:val="28"/>
        </w:rPr>
      </w:pPr>
      <w:r w:rsidRPr="00B65B17">
        <w:rPr>
          <w:rFonts w:ascii="Times New Roman" w:hAnsi="Times New Roman" w:cs="Times New Roman"/>
          <w:b/>
          <w:sz w:val="28"/>
          <w:szCs w:val="28"/>
        </w:rPr>
        <w:t>1</w:t>
      </w:r>
      <w:r w:rsidRPr="00B65B17">
        <w:rPr>
          <w:rFonts w:ascii="Times New Roman" w:hAnsi="Times New Roman" w:cs="Times New Roman"/>
          <w:sz w:val="28"/>
          <w:szCs w:val="28"/>
        </w:rPr>
        <w:t>-</w:t>
      </w:r>
      <w:r w:rsidRPr="00B65B17">
        <w:rPr>
          <w:rFonts w:ascii="Times New Roman" w:hAnsi="Times New Roman" w:cs="Times New Roman"/>
          <w:b/>
          <w:sz w:val="28"/>
          <w:szCs w:val="28"/>
        </w:rPr>
        <w:t xml:space="preserve"> Type et durée d’étude :</w:t>
      </w:r>
      <w:r w:rsidRPr="00B65B17">
        <w:rPr>
          <w:rFonts w:ascii="Times New Roman" w:hAnsi="Times New Roman" w:cs="Times New Roman"/>
          <w:sz w:val="28"/>
          <w:szCs w:val="28"/>
        </w:rPr>
        <w:t xml:space="preserve"> Il s’agissait d’une étude</w:t>
      </w:r>
      <w:r>
        <w:rPr>
          <w:rFonts w:ascii="Times New Roman" w:hAnsi="Times New Roman" w:cs="Times New Roman"/>
          <w:sz w:val="28"/>
          <w:szCs w:val="28"/>
        </w:rPr>
        <w:t xml:space="preserve"> prospective de type </w:t>
      </w:r>
      <w:r w:rsidRPr="00B65B17">
        <w:rPr>
          <w:rFonts w:ascii="Times New Roman" w:hAnsi="Times New Roman" w:cs="Times New Roman"/>
          <w:sz w:val="28"/>
          <w:szCs w:val="28"/>
        </w:rPr>
        <w:t xml:space="preserve">descriptif réalisée sur une période de </w:t>
      </w:r>
      <w:r>
        <w:rPr>
          <w:rFonts w:ascii="Times New Roman" w:hAnsi="Times New Roman" w:cs="Times New Roman"/>
          <w:sz w:val="28"/>
          <w:szCs w:val="28"/>
        </w:rPr>
        <w:t>1 an</w:t>
      </w:r>
      <w:r w:rsidRPr="00B65B17">
        <w:rPr>
          <w:rFonts w:ascii="Times New Roman" w:hAnsi="Times New Roman" w:cs="Times New Roman"/>
          <w:sz w:val="28"/>
          <w:szCs w:val="28"/>
        </w:rPr>
        <w:t xml:space="preserve"> allant du </w:t>
      </w:r>
      <w:r>
        <w:rPr>
          <w:rFonts w:ascii="Times New Roman" w:hAnsi="Times New Roman" w:cs="Times New Roman"/>
          <w:sz w:val="28"/>
          <w:szCs w:val="28"/>
        </w:rPr>
        <w:t>1</w:t>
      </w:r>
      <w:r w:rsidRPr="005D77B5">
        <w:rPr>
          <w:rFonts w:ascii="Times New Roman" w:hAnsi="Times New Roman" w:cs="Times New Roman"/>
          <w:sz w:val="28"/>
          <w:szCs w:val="28"/>
          <w:vertAlign w:val="superscript"/>
        </w:rPr>
        <w:t>er</w:t>
      </w:r>
      <w:r>
        <w:rPr>
          <w:rFonts w:ascii="Times New Roman" w:hAnsi="Times New Roman" w:cs="Times New Roman"/>
          <w:sz w:val="28"/>
          <w:szCs w:val="28"/>
        </w:rPr>
        <w:t xml:space="preserve"> Janvier 2020</w:t>
      </w:r>
      <w:r w:rsidRPr="00B65B17">
        <w:rPr>
          <w:rFonts w:ascii="Times New Roman" w:hAnsi="Times New Roman" w:cs="Times New Roman"/>
          <w:sz w:val="28"/>
          <w:szCs w:val="28"/>
        </w:rPr>
        <w:t xml:space="preserve"> au </w:t>
      </w:r>
      <w:r>
        <w:rPr>
          <w:rFonts w:ascii="Times New Roman" w:hAnsi="Times New Roman" w:cs="Times New Roman"/>
          <w:sz w:val="28"/>
          <w:szCs w:val="28"/>
        </w:rPr>
        <w:t>31 Décembre 2020.</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r w:rsidRPr="00B65B17">
        <w:rPr>
          <w:rFonts w:ascii="Times New Roman" w:hAnsi="Times New Roman" w:cs="Times New Roman"/>
          <w:b/>
          <w:sz w:val="28"/>
          <w:szCs w:val="28"/>
        </w:rPr>
        <w:t>2</w:t>
      </w:r>
      <w:r w:rsidRPr="00B65B17">
        <w:rPr>
          <w:rFonts w:ascii="Times New Roman" w:hAnsi="Times New Roman" w:cs="Times New Roman"/>
          <w:sz w:val="28"/>
          <w:szCs w:val="28"/>
        </w:rPr>
        <w:t>-</w:t>
      </w:r>
      <w:r w:rsidRPr="00B65B17">
        <w:rPr>
          <w:rFonts w:ascii="Times New Roman" w:hAnsi="Times New Roman" w:cs="Times New Roman"/>
          <w:b/>
          <w:sz w:val="28"/>
          <w:szCs w:val="28"/>
        </w:rPr>
        <w:t>Population cible :</w:t>
      </w:r>
      <w:r>
        <w:rPr>
          <w:rFonts w:ascii="Times New Roman" w:hAnsi="Times New Roman" w:cs="Times New Roman"/>
          <w:b/>
          <w:sz w:val="28"/>
          <w:szCs w:val="28"/>
        </w:rPr>
        <w:t xml:space="preserve"> </w:t>
      </w:r>
      <w:r w:rsidRPr="00B65B17">
        <w:rPr>
          <w:rFonts w:ascii="Times New Roman" w:hAnsi="Times New Roman" w:cs="Times New Roman"/>
          <w:sz w:val="28"/>
          <w:szCs w:val="28"/>
        </w:rPr>
        <w:t xml:space="preserve">Tous les </w:t>
      </w:r>
      <w:r>
        <w:rPr>
          <w:rFonts w:ascii="Times New Roman" w:hAnsi="Times New Roman" w:cs="Times New Roman"/>
          <w:sz w:val="28"/>
          <w:szCs w:val="28"/>
        </w:rPr>
        <w:t>PC</w:t>
      </w:r>
      <w:r w:rsidRPr="00B65B17">
        <w:rPr>
          <w:rFonts w:ascii="Times New Roman" w:hAnsi="Times New Roman" w:cs="Times New Roman"/>
          <w:sz w:val="28"/>
          <w:szCs w:val="28"/>
        </w:rPr>
        <w:t xml:space="preserve"> </w:t>
      </w:r>
      <w:r>
        <w:rPr>
          <w:rFonts w:ascii="Times New Roman" w:hAnsi="Times New Roman" w:cs="Times New Roman"/>
          <w:sz w:val="28"/>
          <w:szCs w:val="28"/>
        </w:rPr>
        <w:t>dépistés ou non</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r w:rsidRPr="00B65B17">
        <w:rPr>
          <w:rFonts w:ascii="Times New Roman" w:hAnsi="Times New Roman" w:cs="Times New Roman"/>
          <w:b/>
          <w:sz w:val="28"/>
          <w:szCs w:val="28"/>
        </w:rPr>
        <w:t>3</w:t>
      </w:r>
      <w:r w:rsidRPr="00B65B17">
        <w:rPr>
          <w:rFonts w:ascii="Times New Roman" w:hAnsi="Times New Roman" w:cs="Times New Roman"/>
          <w:sz w:val="28"/>
          <w:szCs w:val="28"/>
        </w:rPr>
        <w:t>-</w:t>
      </w:r>
      <w:r w:rsidRPr="00B65B17">
        <w:rPr>
          <w:rFonts w:ascii="Times New Roman" w:hAnsi="Times New Roman" w:cs="Times New Roman"/>
          <w:b/>
          <w:sz w:val="28"/>
          <w:szCs w:val="28"/>
        </w:rPr>
        <w:t>Population d’étude </w:t>
      </w:r>
      <w:r w:rsidRPr="00B65B17">
        <w:rPr>
          <w:rFonts w:ascii="Times New Roman" w:hAnsi="Times New Roman" w:cs="Times New Roman"/>
          <w:sz w:val="28"/>
          <w:szCs w:val="28"/>
        </w:rPr>
        <w:t xml:space="preserve">: </w:t>
      </w:r>
      <w:r>
        <w:rPr>
          <w:rFonts w:ascii="Times New Roman" w:hAnsi="Times New Roman" w:cs="Times New Roman"/>
          <w:sz w:val="28"/>
          <w:szCs w:val="28"/>
        </w:rPr>
        <w:t>l’ensemble des HSH ayant effectués le dépistage</w:t>
      </w:r>
      <w:r w:rsidRPr="00B65B17">
        <w:rPr>
          <w:rFonts w:ascii="Times New Roman" w:hAnsi="Times New Roman" w:cs="Times New Roman"/>
          <w:sz w:val="28"/>
          <w:szCs w:val="28"/>
        </w:rPr>
        <w:t xml:space="preserve"> durant la période d’étude.</w:t>
      </w:r>
    </w:p>
    <w:p w:rsidR="005D77B5" w:rsidRPr="00917D53" w:rsidRDefault="005D77B5" w:rsidP="005D77B5">
      <w:pPr>
        <w:shd w:val="clear" w:color="auto" w:fill="FFFFFF" w:themeFill="background1"/>
        <w:spacing w:after="0" w:line="360" w:lineRule="auto"/>
        <w:jc w:val="both"/>
        <w:rPr>
          <w:rFonts w:ascii="Times New Roman" w:hAnsi="Times New Roman" w:cs="Times New Roman"/>
          <w:b/>
          <w:sz w:val="28"/>
          <w:szCs w:val="28"/>
        </w:rPr>
      </w:pPr>
      <w:r w:rsidRPr="00B65B17">
        <w:rPr>
          <w:rFonts w:ascii="Times New Roman" w:hAnsi="Times New Roman" w:cs="Times New Roman"/>
          <w:b/>
          <w:sz w:val="28"/>
          <w:szCs w:val="28"/>
        </w:rPr>
        <w:t>4</w:t>
      </w:r>
      <w:r w:rsidRPr="00B65B17">
        <w:rPr>
          <w:rFonts w:ascii="Times New Roman" w:hAnsi="Times New Roman" w:cs="Times New Roman"/>
          <w:sz w:val="28"/>
          <w:szCs w:val="28"/>
        </w:rPr>
        <w:t>-</w:t>
      </w:r>
      <w:r w:rsidRPr="00B65B17">
        <w:rPr>
          <w:rFonts w:ascii="Times New Roman" w:hAnsi="Times New Roman" w:cs="Times New Roman"/>
          <w:b/>
          <w:sz w:val="28"/>
          <w:szCs w:val="28"/>
        </w:rPr>
        <w:t>Critères d’inclusion :</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Tous HSH ayant effectués le dépistage</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r w:rsidRPr="00B65B17">
        <w:rPr>
          <w:rFonts w:ascii="Times New Roman" w:hAnsi="Times New Roman" w:cs="Times New Roman"/>
          <w:b/>
          <w:sz w:val="28"/>
          <w:szCs w:val="28"/>
        </w:rPr>
        <w:t>5-Critères de non inclusion :</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sz w:val="28"/>
          <w:szCs w:val="28"/>
        </w:rPr>
        <w:t>-HSH n’ayant pas effectué le test de dépistage</w:t>
      </w:r>
    </w:p>
    <w:p w:rsidR="005D77B5" w:rsidRDefault="005D77B5" w:rsidP="005D77B5">
      <w:pPr>
        <w:shd w:val="clear" w:color="auto" w:fill="FFFFFF" w:themeFill="background1"/>
        <w:spacing w:after="0" w:line="360" w:lineRule="auto"/>
        <w:jc w:val="both"/>
        <w:rPr>
          <w:rFonts w:ascii="Times New Roman" w:hAnsi="Times New Roman" w:cs="Times New Roman"/>
          <w:b/>
          <w:sz w:val="28"/>
          <w:szCs w:val="28"/>
        </w:rPr>
      </w:pPr>
      <w:r w:rsidRPr="00B65B17">
        <w:rPr>
          <w:rFonts w:ascii="Times New Roman" w:hAnsi="Times New Roman" w:cs="Times New Roman"/>
          <w:b/>
          <w:sz w:val="28"/>
          <w:szCs w:val="28"/>
        </w:rPr>
        <w:t>6</w:t>
      </w:r>
      <w:r w:rsidRPr="00B65B17">
        <w:rPr>
          <w:rFonts w:ascii="Times New Roman" w:hAnsi="Times New Roman" w:cs="Times New Roman"/>
          <w:sz w:val="28"/>
          <w:szCs w:val="28"/>
        </w:rPr>
        <w:t>-</w:t>
      </w:r>
      <w:r w:rsidRPr="00B65B17">
        <w:rPr>
          <w:rFonts w:ascii="Times New Roman" w:hAnsi="Times New Roman" w:cs="Times New Roman"/>
          <w:b/>
          <w:sz w:val="28"/>
          <w:szCs w:val="28"/>
        </w:rPr>
        <w:t xml:space="preserve">Collecte des données : </w:t>
      </w:r>
    </w:p>
    <w:p w:rsidR="005D77B5" w:rsidRPr="005D77B5" w:rsidRDefault="005D77B5" w:rsidP="005D77B5">
      <w:pPr>
        <w:shd w:val="clear" w:color="auto" w:fill="FFFFFF" w:themeFill="background1"/>
        <w:spacing w:after="0" w:line="360" w:lineRule="auto"/>
        <w:jc w:val="both"/>
        <w:rPr>
          <w:rFonts w:ascii="Times New Roman" w:hAnsi="Times New Roman" w:cs="Times New Roman"/>
          <w:color w:val="000000"/>
          <w:sz w:val="28"/>
          <w:szCs w:val="28"/>
        </w:rPr>
      </w:pPr>
      <w:r w:rsidRPr="00B65B17">
        <w:rPr>
          <w:rFonts w:ascii="Times New Roman" w:hAnsi="Times New Roman" w:cs="Times New Roman"/>
          <w:color w:val="000000"/>
          <w:sz w:val="28"/>
          <w:szCs w:val="28"/>
        </w:rPr>
        <w:t>Les données ont étés recueillies à partir d’une fiche d’enquête préétablie à cet effet</w:t>
      </w:r>
      <w:r>
        <w:rPr>
          <w:rFonts w:ascii="Times New Roman" w:hAnsi="Times New Roman" w:cs="Times New Roman"/>
          <w:color w:val="000000"/>
          <w:sz w:val="28"/>
          <w:szCs w:val="28"/>
        </w:rPr>
        <w:t xml:space="preserve"> et les</w:t>
      </w:r>
      <w:r w:rsidRPr="005D77B5">
        <w:rPr>
          <w:rFonts w:ascii="Times New Roman" w:hAnsi="Times New Roman" w:cs="Times New Roman"/>
          <w:sz w:val="28"/>
          <w:szCs w:val="28"/>
        </w:rPr>
        <w:t xml:space="preserve"> logiciels de saisie et calcul </w:t>
      </w:r>
      <w:r w:rsidRPr="005D77B5">
        <w:rPr>
          <w:rFonts w:ascii="Times New Roman" w:hAnsi="Times New Roman" w:cs="Times New Roman"/>
          <w:b/>
          <w:sz w:val="28"/>
          <w:szCs w:val="28"/>
        </w:rPr>
        <w:t>(Word et Excel 2007)</w:t>
      </w:r>
      <w:r w:rsidRPr="005D77B5">
        <w:rPr>
          <w:rFonts w:ascii="Times New Roman" w:hAnsi="Times New Roman" w:cs="Times New Roman"/>
          <w:sz w:val="28"/>
          <w:szCs w:val="28"/>
        </w:rPr>
        <w:t>.</w:t>
      </w:r>
    </w:p>
    <w:p w:rsidR="005D77B5" w:rsidRPr="00B65B17" w:rsidRDefault="005D77B5" w:rsidP="005D77B5">
      <w:pPr>
        <w:shd w:val="clear" w:color="auto" w:fill="FFFFFF" w:themeFill="background1"/>
        <w:spacing w:after="0" w:line="360" w:lineRule="auto"/>
        <w:jc w:val="both"/>
        <w:rPr>
          <w:rFonts w:ascii="Times New Roman" w:hAnsi="Times New Roman" w:cs="Times New Roman"/>
          <w:sz w:val="28"/>
          <w:szCs w:val="28"/>
        </w:rPr>
      </w:pPr>
    </w:p>
    <w:p w:rsidR="0034420B" w:rsidRDefault="0034420B" w:rsidP="0034420B"/>
    <w:p w:rsidR="00D94294" w:rsidRDefault="00D94294" w:rsidP="00D94294"/>
    <w:p w:rsidR="00A81BBC" w:rsidRDefault="00A81BBC"/>
    <w:sectPr w:rsidR="00A81BBC" w:rsidSect="00A81BBC">
      <w:headerReference w:type="default" r:id="rId11"/>
      <w:pgSz w:w="11906" w:h="16838"/>
      <w:pgMar w:top="567" w:right="1417" w:bottom="568"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F1B" w:rsidRDefault="00536F1B" w:rsidP="0053247D">
      <w:pPr>
        <w:spacing w:after="0" w:line="240" w:lineRule="auto"/>
      </w:pPr>
      <w:r>
        <w:separator/>
      </w:r>
    </w:p>
  </w:endnote>
  <w:endnote w:type="continuationSeparator" w:id="0">
    <w:p w:rsidR="00536F1B" w:rsidRDefault="00536F1B" w:rsidP="005324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F1B" w:rsidRDefault="00536F1B" w:rsidP="0053247D">
      <w:pPr>
        <w:spacing w:after="0" w:line="240" w:lineRule="auto"/>
      </w:pPr>
      <w:r>
        <w:separator/>
      </w:r>
    </w:p>
  </w:footnote>
  <w:footnote w:type="continuationSeparator" w:id="0">
    <w:p w:rsidR="00536F1B" w:rsidRDefault="00536F1B" w:rsidP="005324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BC" w:rsidRDefault="00A81BBC">
    <w:pPr>
      <w:pStyle w:val="En-tte"/>
    </w:pPr>
    <w:r>
      <w:t xml:space="preserve"> </w:t>
    </w:r>
  </w:p>
  <w:p w:rsidR="00A81BBC" w:rsidRDefault="00A81BB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95281"/>
    <w:multiLevelType w:val="hybridMultilevel"/>
    <w:tmpl w:val="76422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AFF791F"/>
    <w:multiLevelType w:val="hybridMultilevel"/>
    <w:tmpl w:val="C09EED90"/>
    <w:lvl w:ilvl="0" w:tplc="040C0001">
      <w:start w:val="1"/>
      <w:numFmt w:val="bullet"/>
      <w:lvlText w:val=""/>
      <w:lvlJc w:val="left"/>
      <w:pPr>
        <w:ind w:left="1875" w:hanging="360"/>
      </w:pPr>
      <w:rPr>
        <w:rFonts w:ascii="Symbol" w:hAnsi="Symbol" w:hint="default"/>
      </w:rPr>
    </w:lvl>
    <w:lvl w:ilvl="1" w:tplc="040C0003" w:tentative="1">
      <w:start w:val="1"/>
      <w:numFmt w:val="bullet"/>
      <w:lvlText w:val="o"/>
      <w:lvlJc w:val="left"/>
      <w:pPr>
        <w:ind w:left="2595" w:hanging="360"/>
      </w:pPr>
      <w:rPr>
        <w:rFonts w:ascii="Courier New" w:hAnsi="Courier New" w:cs="Courier New" w:hint="default"/>
      </w:rPr>
    </w:lvl>
    <w:lvl w:ilvl="2" w:tplc="040C0005" w:tentative="1">
      <w:start w:val="1"/>
      <w:numFmt w:val="bullet"/>
      <w:lvlText w:val=""/>
      <w:lvlJc w:val="left"/>
      <w:pPr>
        <w:ind w:left="3315" w:hanging="360"/>
      </w:pPr>
      <w:rPr>
        <w:rFonts w:ascii="Wingdings" w:hAnsi="Wingdings" w:hint="default"/>
      </w:rPr>
    </w:lvl>
    <w:lvl w:ilvl="3" w:tplc="040C0001" w:tentative="1">
      <w:start w:val="1"/>
      <w:numFmt w:val="bullet"/>
      <w:lvlText w:val=""/>
      <w:lvlJc w:val="left"/>
      <w:pPr>
        <w:ind w:left="4035" w:hanging="360"/>
      </w:pPr>
      <w:rPr>
        <w:rFonts w:ascii="Symbol" w:hAnsi="Symbol" w:hint="default"/>
      </w:rPr>
    </w:lvl>
    <w:lvl w:ilvl="4" w:tplc="040C0003" w:tentative="1">
      <w:start w:val="1"/>
      <w:numFmt w:val="bullet"/>
      <w:lvlText w:val="o"/>
      <w:lvlJc w:val="left"/>
      <w:pPr>
        <w:ind w:left="4755" w:hanging="360"/>
      </w:pPr>
      <w:rPr>
        <w:rFonts w:ascii="Courier New" w:hAnsi="Courier New" w:cs="Courier New" w:hint="default"/>
      </w:rPr>
    </w:lvl>
    <w:lvl w:ilvl="5" w:tplc="040C0005" w:tentative="1">
      <w:start w:val="1"/>
      <w:numFmt w:val="bullet"/>
      <w:lvlText w:val=""/>
      <w:lvlJc w:val="left"/>
      <w:pPr>
        <w:ind w:left="5475" w:hanging="360"/>
      </w:pPr>
      <w:rPr>
        <w:rFonts w:ascii="Wingdings" w:hAnsi="Wingdings" w:hint="default"/>
      </w:rPr>
    </w:lvl>
    <w:lvl w:ilvl="6" w:tplc="040C0001" w:tentative="1">
      <w:start w:val="1"/>
      <w:numFmt w:val="bullet"/>
      <w:lvlText w:val=""/>
      <w:lvlJc w:val="left"/>
      <w:pPr>
        <w:ind w:left="6195" w:hanging="360"/>
      </w:pPr>
      <w:rPr>
        <w:rFonts w:ascii="Symbol" w:hAnsi="Symbol" w:hint="default"/>
      </w:rPr>
    </w:lvl>
    <w:lvl w:ilvl="7" w:tplc="040C0003" w:tentative="1">
      <w:start w:val="1"/>
      <w:numFmt w:val="bullet"/>
      <w:lvlText w:val="o"/>
      <w:lvlJc w:val="left"/>
      <w:pPr>
        <w:ind w:left="6915" w:hanging="360"/>
      </w:pPr>
      <w:rPr>
        <w:rFonts w:ascii="Courier New" w:hAnsi="Courier New" w:cs="Courier New" w:hint="default"/>
      </w:rPr>
    </w:lvl>
    <w:lvl w:ilvl="8" w:tplc="040C0005" w:tentative="1">
      <w:start w:val="1"/>
      <w:numFmt w:val="bullet"/>
      <w:lvlText w:val=""/>
      <w:lvlJc w:val="left"/>
      <w:pPr>
        <w:ind w:left="7635"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footnotePr>
    <w:footnote w:id="-1"/>
    <w:footnote w:id="0"/>
  </w:footnotePr>
  <w:endnotePr>
    <w:endnote w:id="-1"/>
    <w:endnote w:id="0"/>
  </w:endnotePr>
  <w:compat/>
  <w:rsids>
    <w:rsidRoot w:val="00D94294"/>
    <w:rsid w:val="000D1585"/>
    <w:rsid w:val="0022699B"/>
    <w:rsid w:val="0034420B"/>
    <w:rsid w:val="00503B4A"/>
    <w:rsid w:val="0053247D"/>
    <w:rsid w:val="00536F1B"/>
    <w:rsid w:val="005D77B5"/>
    <w:rsid w:val="009F1BB7"/>
    <w:rsid w:val="00A37E30"/>
    <w:rsid w:val="00A40DD7"/>
    <w:rsid w:val="00A81BBC"/>
    <w:rsid w:val="00B5281D"/>
    <w:rsid w:val="00D536CA"/>
    <w:rsid w:val="00D94294"/>
    <w:rsid w:val="00E7209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4294"/>
    <w:pPr>
      <w:tabs>
        <w:tab w:val="center" w:pos="4536"/>
        <w:tab w:val="right" w:pos="9072"/>
      </w:tabs>
      <w:spacing w:after="0" w:line="240" w:lineRule="auto"/>
    </w:pPr>
  </w:style>
  <w:style w:type="character" w:customStyle="1" w:styleId="En-tteCar">
    <w:name w:val="En-tête Car"/>
    <w:basedOn w:val="Policepardfaut"/>
    <w:link w:val="En-tte"/>
    <w:uiPriority w:val="99"/>
    <w:rsid w:val="00D94294"/>
  </w:style>
  <w:style w:type="character" w:styleId="Lienhypertexte">
    <w:name w:val="Hyperlink"/>
    <w:basedOn w:val="Policepardfaut"/>
    <w:uiPriority w:val="99"/>
    <w:unhideWhenUsed/>
    <w:rsid w:val="00D94294"/>
    <w:rPr>
      <w:color w:val="0000FF" w:themeColor="hyperlink"/>
      <w:u w:val="single"/>
    </w:rPr>
  </w:style>
  <w:style w:type="paragraph" w:styleId="Textedebulles">
    <w:name w:val="Balloon Text"/>
    <w:basedOn w:val="Normal"/>
    <w:link w:val="TextedebullesCar"/>
    <w:uiPriority w:val="99"/>
    <w:semiHidden/>
    <w:unhideWhenUsed/>
    <w:rsid w:val="00D942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94294"/>
    <w:rPr>
      <w:rFonts w:ascii="Tahoma" w:hAnsi="Tahoma" w:cs="Tahoma"/>
      <w:sz w:val="16"/>
      <w:szCs w:val="16"/>
    </w:rPr>
  </w:style>
  <w:style w:type="paragraph" w:styleId="Paragraphedeliste">
    <w:name w:val="List Paragraph"/>
    <w:basedOn w:val="Normal"/>
    <w:uiPriority w:val="34"/>
    <w:qFormat/>
    <w:rsid w:val="005D77B5"/>
    <w:pPr>
      <w:ind w:left="720"/>
      <w:contextualSpacing/>
    </w:pPr>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amaragermain73@gmail.com" TargetMode="External"/><Relationship Id="rId4" Type="http://schemas.openxmlformats.org/officeDocument/2006/relationships/webSettings" Target="webSettings.xml"/><Relationship Id="rId9" Type="http://schemas.openxmlformats.org/officeDocument/2006/relationships/hyperlink" Target="mailto:aichaib2016@gmail.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bar3DChart>
        <c:barDir val="col"/>
        <c:grouping val="clustered"/>
        <c:ser>
          <c:idx val="0"/>
          <c:order val="0"/>
          <c:tx>
            <c:strRef>
              <c:f>Feuil1!$B$1</c:f>
              <c:strCache>
                <c:ptCount val="1"/>
                <c:pt idx="0">
                  <c:v>ACTIVITES</c:v>
                </c:pt>
              </c:strCache>
            </c:strRef>
          </c:tx>
          <c:dLbls>
            <c:dLbl>
              <c:idx val="0"/>
              <c:layout>
                <c:manualLayout>
                  <c:x val="2.2588504249721746E-2"/>
                  <c:y val="-4.1433142731570304E-2"/>
                </c:manualLayout>
              </c:layout>
              <c:showVal val="1"/>
            </c:dLbl>
            <c:dLbl>
              <c:idx val="1"/>
              <c:layout>
                <c:manualLayout>
                  <c:x val="0"/>
                  <c:y val="-3.1746031746031744E-2"/>
                </c:manualLayout>
              </c:layout>
              <c:showVal val="1"/>
            </c:dLbl>
            <c:dLbl>
              <c:idx val="2"/>
              <c:layout>
                <c:manualLayout>
                  <c:x val="0"/>
                  <c:y val="-3.1746031746031744E-2"/>
                </c:manualLayout>
              </c:layout>
              <c:showVal val="1"/>
            </c:dLbl>
            <c:dLbl>
              <c:idx val="3"/>
              <c:layout>
                <c:manualLayout>
                  <c:x val="-8.4875562720133604E-17"/>
                  <c:y val="-2.7777777777777814E-2"/>
                </c:manualLayout>
              </c:layout>
              <c:showVal val="1"/>
            </c:dLbl>
            <c:spPr>
              <a:ln>
                <a:noFill/>
              </a:ln>
            </c:spPr>
            <c:txPr>
              <a:bodyPr/>
              <a:lstStyle/>
              <a:p>
                <a:pPr>
                  <a:defRPr>
                    <a:ln>
                      <a:noFill/>
                    </a:ln>
                  </a:defRPr>
                </a:pPr>
                <a:endParaRPr lang="fr-FR"/>
              </a:p>
            </c:txPr>
            <c:showVal val="1"/>
          </c:dLbls>
          <c:cat>
            <c:strRef>
              <c:f>Feuil1!$A$2:$A$5</c:f>
              <c:strCache>
                <c:ptCount val="4"/>
                <c:pt idx="0">
                  <c:v>Causéries éducatives</c:v>
                </c:pt>
                <c:pt idx="1">
                  <c:v>Personnes touchées</c:v>
                </c:pt>
                <c:pt idx="2">
                  <c:v>lubrifiant distribué</c:v>
                </c:pt>
                <c:pt idx="3">
                  <c:v>Préservatif distribué</c:v>
                </c:pt>
              </c:strCache>
            </c:strRef>
          </c:cat>
          <c:val>
            <c:numRef>
              <c:f>Feuil1!$B$2:$B$5</c:f>
              <c:numCache>
                <c:formatCode>General</c:formatCode>
                <c:ptCount val="4"/>
                <c:pt idx="0">
                  <c:v>110</c:v>
                </c:pt>
                <c:pt idx="1">
                  <c:v>368</c:v>
                </c:pt>
                <c:pt idx="2">
                  <c:v>10624</c:v>
                </c:pt>
                <c:pt idx="3">
                  <c:v>7238</c:v>
                </c:pt>
              </c:numCache>
            </c:numRef>
          </c:val>
        </c:ser>
        <c:dLbls>
          <c:showVal val="1"/>
        </c:dLbls>
        <c:gapWidth val="75"/>
        <c:shape val="cylinder"/>
        <c:axId val="136011776"/>
        <c:axId val="136033408"/>
        <c:axId val="0"/>
      </c:bar3DChart>
      <c:catAx>
        <c:axId val="136011776"/>
        <c:scaling>
          <c:orientation val="minMax"/>
        </c:scaling>
        <c:axPos val="b"/>
        <c:majorTickMark val="none"/>
        <c:tickLblPos val="nextTo"/>
        <c:crossAx val="136033408"/>
        <c:crosses val="autoZero"/>
        <c:auto val="1"/>
        <c:lblAlgn val="ctr"/>
        <c:lblOffset val="100"/>
      </c:catAx>
      <c:valAx>
        <c:axId val="136033408"/>
        <c:scaling>
          <c:orientation val="minMax"/>
        </c:scaling>
        <c:axPos val="l"/>
        <c:numFmt formatCode="General" sourceLinked="1"/>
        <c:majorTickMark val="none"/>
        <c:tickLblPos val="nextTo"/>
        <c:crossAx val="136011776"/>
        <c:crosses val="autoZero"/>
        <c:crossBetween val="between"/>
      </c:valAx>
    </c:plotArea>
    <c:legend>
      <c:legendPos val="b"/>
    </c:legend>
    <c:plotVisOnly val="1"/>
  </c:chart>
  <c:spPr>
    <a:solidFill>
      <a:schemeClr val="accent6">
        <a:lumMod val="40000"/>
        <a:lumOff val="60000"/>
      </a:schemeClr>
    </a:solid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en-US"/>
              <a:t>Activité</a:t>
            </a:r>
            <a:r>
              <a:rPr lang="en-US" baseline="0"/>
              <a:t> de Dépistage</a:t>
            </a:r>
            <a:endParaRPr lang="en-US"/>
          </a:p>
        </c:rich>
      </c:tx>
    </c:title>
    <c:plotArea>
      <c:layout/>
      <c:ofPieChart>
        <c:ofPieType val="pie"/>
        <c:varyColors val="1"/>
        <c:ser>
          <c:idx val="0"/>
          <c:order val="0"/>
          <c:tx>
            <c:strRef>
              <c:f>Feuil1!$B$1</c:f>
              <c:strCache>
                <c:ptCount val="1"/>
                <c:pt idx="0">
                  <c:v>Activités</c:v>
                </c:pt>
              </c:strCache>
            </c:strRef>
          </c:tx>
          <c:dLbls>
            <c:dLbl>
              <c:idx val="0"/>
              <c:tx>
                <c:rich>
                  <a:bodyPr/>
                  <a:lstStyle/>
                  <a:p>
                    <a:pPr>
                      <a:defRPr sz="900" b="1"/>
                    </a:pPr>
                    <a:r>
                      <a:rPr lang="en-US" sz="900" b="1"/>
                      <a:t>H</a:t>
                    </a:r>
                    <a:r>
                      <a:rPr lang="en-US" sz="900"/>
                      <a:t>SH dépistés
270</a:t>
                    </a:r>
                  </a:p>
                </c:rich>
              </c:tx>
              <c:spPr/>
              <c:dLblPos val="bestFit"/>
              <c:showCatName val="1"/>
              <c:showPercent val="1"/>
            </c:dLbl>
            <c:dLbl>
              <c:idx val="1"/>
              <c:layout>
                <c:manualLayout>
                  <c:x val="0.22982684456109662"/>
                  <c:y val="5.6821022372203475E-2"/>
                </c:manualLayout>
              </c:layout>
              <c:tx>
                <c:rich>
                  <a:bodyPr/>
                  <a:lstStyle/>
                  <a:p>
                    <a:pPr>
                      <a:defRPr sz="1000" b="1"/>
                    </a:pPr>
                    <a:r>
                      <a:rPr lang="en-US" sz="1000" b="1" i="0" baseline="0"/>
                      <a:t>HSH sous TARV</a:t>
                    </a:r>
                    <a:endParaRPr lang="fr-FR" sz="1000"/>
                  </a:p>
                  <a:p>
                    <a:pPr>
                      <a:defRPr sz="1000" b="1"/>
                    </a:pPr>
                    <a:r>
                      <a:rPr lang="en-US" sz="1000" b="1" i="0" baseline="0"/>
                      <a:t>55,88%</a:t>
                    </a:r>
                  </a:p>
                  <a:p>
                    <a:pPr>
                      <a:defRPr sz="1000" b="1"/>
                    </a:pPr>
                    <a:endParaRPr lang="en-US" sz="1000"/>
                  </a:p>
                </c:rich>
              </c:tx>
              <c:spPr/>
              <c:dLblPos val="bestFit"/>
              <c:showCatName val="1"/>
              <c:showPercent val="1"/>
            </c:dLbl>
            <c:dLbl>
              <c:idx val="2"/>
              <c:layout>
                <c:manualLayout>
                  <c:x val="-0.16477763196267134"/>
                  <c:y val="-6.4879390076240497E-3"/>
                </c:manualLayout>
              </c:layout>
              <c:tx>
                <c:rich>
                  <a:bodyPr/>
                  <a:lstStyle/>
                  <a:p>
                    <a:pPr>
                      <a:defRPr sz="900" b="1"/>
                    </a:pPr>
                    <a:r>
                      <a:rPr lang="en-US" sz="900" b="1"/>
                      <a:t>H</a:t>
                    </a:r>
                    <a:r>
                      <a:rPr lang="en-US" sz="900"/>
                      <a:t>SH</a:t>
                    </a:r>
                    <a:r>
                      <a:rPr lang="en-US" sz="900" baseline="0"/>
                      <a:t> Dépistés positif au VIH </a:t>
                    </a:r>
                  </a:p>
                  <a:p>
                    <a:pPr>
                      <a:defRPr sz="900" b="1"/>
                    </a:pPr>
                    <a:r>
                      <a:rPr lang="en-US" sz="900" baseline="0"/>
                      <a:t>12,59%</a:t>
                    </a:r>
                    <a:endParaRPr lang="en-US" sz="900"/>
                  </a:p>
                </c:rich>
              </c:tx>
              <c:spPr/>
              <c:dLblPos val="bestFit"/>
              <c:showCatName val="1"/>
              <c:showPercent val="1"/>
            </c:dLbl>
            <c:txPr>
              <a:bodyPr/>
              <a:lstStyle/>
              <a:p>
                <a:pPr>
                  <a:defRPr sz="1050" b="1"/>
                </a:pPr>
                <a:endParaRPr lang="fr-FR"/>
              </a:p>
            </c:txPr>
            <c:dLblPos val="bestFit"/>
            <c:showCatName val="1"/>
            <c:showPercent val="1"/>
            <c:showLeaderLines val="1"/>
          </c:dLbls>
          <c:cat>
            <c:strRef>
              <c:f>Feuil1!$A$2:$A$3</c:f>
              <c:strCache>
                <c:ptCount val="2"/>
                <c:pt idx="0">
                  <c:v>Personnes dépistés</c:v>
                </c:pt>
                <c:pt idx="1">
                  <c:v>Personnes dépistés positif au VIH</c:v>
                </c:pt>
              </c:strCache>
            </c:strRef>
          </c:cat>
          <c:val>
            <c:numRef>
              <c:f>Feuil1!$B$2:$B$3</c:f>
              <c:numCache>
                <c:formatCode>General</c:formatCode>
                <c:ptCount val="2"/>
                <c:pt idx="0">
                  <c:v>350</c:v>
                </c:pt>
                <c:pt idx="1">
                  <c:v>34</c:v>
                </c:pt>
              </c:numCache>
            </c:numRef>
          </c:val>
        </c:ser>
        <c:dLbls>
          <c:showCatName val="1"/>
          <c:showPercent val="1"/>
        </c:dLbls>
        <c:gapWidth val="100"/>
        <c:secondPieSize val="75"/>
        <c:serLines/>
      </c:ofPieChart>
    </c:plotArea>
    <c:plotVisOnly val="1"/>
  </c:chart>
  <c:spPr>
    <a:solidFill>
      <a:schemeClr val="bg1">
        <a:lumMod val="75000"/>
      </a:schemeClr>
    </a:solidFill>
    <a:ln>
      <a:noFill/>
    </a:ln>
  </c:sp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1331</TotalTime>
  <Pages>3</Pages>
  <Words>549</Words>
  <Characters>3020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SOLTHISH</dc:creator>
  <cp:lastModifiedBy>SOLTHISH</cp:lastModifiedBy>
  <cp:revision>3</cp:revision>
  <dcterms:created xsi:type="dcterms:W3CDTF">2020-01-23T08:29:00Z</dcterms:created>
  <dcterms:modified xsi:type="dcterms:W3CDTF">2020-01-24T08:56:00Z</dcterms:modified>
</cp:coreProperties>
</file>