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6A2" w:rsidRPr="000D065C" w:rsidRDefault="00C536A2" w:rsidP="00C536A2">
      <w:pPr>
        <w:pStyle w:val="ListParagraph"/>
        <w:spacing w:line="480" w:lineRule="auto"/>
        <w:ind w:left="-567"/>
        <w:jc w:val="center"/>
        <w:rPr>
          <w:rFonts w:ascii="Times New Roman" w:hAnsi="Times New Roman"/>
          <w:sz w:val="24"/>
          <w:szCs w:val="24"/>
        </w:rPr>
      </w:pPr>
      <w:r w:rsidRPr="000D065C">
        <w:rPr>
          <w:rFonts w:ascii="Times New Roman" w:hAnsi="Times New Roman"/>
          <w:b/>
          <w:sz w:val="24"/>
          <w:szCs w:val="24"/>
        </w:rPr>
        <w:t>ABSTRACT</w:t>
      </w:r>
    </w:p>
    <w:p w:rsidR="00C536A2" w:rsidRPr="000D065C" w:rsidRDefault="00C536A2" w:rsidP="00C536A2">
      <w:pPr>
        <w:pBdr>
          <w:bar w:val="single" w:sz="4" w:color="auto"/>
        </w:pBdr>
        <w:ind w:left="-567"/>
        <w:rPr>
          <w:rFonts w:ascii="Times New Roman" w:hAnsi="Times New Roman"/>
          <w:sz w:val="24"/>
          <w:szCs w:val="24"/>
        </w:rPr>
      </w:pPr>
      <w:r w:rsidRPr="000D065C">
        <w:rPr>
          <w:rFonts w:ascii="Times New Roman" w:hAnsi="Times New Roman"/>
          <w:b/>
          <w:sz w:val="24"/>
          <w:szCs w:val="24"/>
        </w:rPr>
        <w:t xml:space="preserve">Introduction- </w:t>
      </w:r>
      <w:r w:rsidRPr="000D065C">
        <w:rPr>
          <w:rFonts w:ascii="Times New Roman" w:hAnsi="Times New Roman"/>
          <w:sz w:val="24"/>
          <w:szCs w:val="24"/>
        </w:rPr>
        <w:t>In approximately 30-50% of the individuals who develop congestive cardiac failure the systolic function as assessed by left ventricular (LV) ejection fraction is either normal or relatively normal.</w:t>
      </w:r>
      <w:r w:rsidRPr="000D065C">
        <w:rPr>
          <w:rFonts w:ascii="Times New Roman" w:hAnsi="Times New Roman"/>
          <w:color w:val="000000"/>
          <w:sz w:val="24"/>
          <w:szCs w:val="24"/>
        </w:rPr>
        <w:t xml:space="preserve"> </w:t>
      </w:r>
    </w:p>
    <w:p w:rsidR="00C536A2" w:rsidRPr="000D065C" w:rsidRDefault="00C536A2" w:rsidP="00C536A2">
      <w:pPr>
        <w:ind w:left="-567"/>
        <w:rPr>
          <w:rFonts w:ascii="Times New Roman" w:eastAsia="Calibri" w:hAnsi="Times New Roman"/>
          <w:sz w:val="24"/>
          <w:szCs w:val="24"/>
        </w:rPr>
      </w:pPr>
      <w:r w:rsidRPr="000D065C">
        <w:rPr>
          <w:rFonts w:ascii="Times New Roman" w:eastAsia="Calibri" w:hAnsi="Times New Roman"/>
          <w:b/>
          <w:sz w:val="24"/>
          <w:szCs w:val="24"/>
        </w:rPr>
        <w:t>Aim</w:t>
      </w:r>
      <w:r w:rsidRPr="000D065C">
        <w:rPr>
          <w:rFonts w:ascii="Times New Roman" w:eastAsia="Calibri" w:hAnsi="Times New Roman"/>
          <w:sz w:val="24"/>
          <w:szCs w:val="24"/>
        </w:rPr>
        <w:t>- S</w:t>
      </w:r>
      <w:r>
        <w:rPr>
          <w:rFonts w:ascii="Times New Roman" w:eastAsia="Calibri" w:hAnsi="Times New Roman"/>
          <w:sz w:val="24"/>
          <w:szCs w:val="24"/>
        </w:rPr>
        <w:t>tudy the relationship between left atrial (LA)</w:t>
      </w:r>
      <w:r w:rsidRPr="000D065C">
        <w:rPr>
          <w:rFonts w:ascii="Times New Roman" w:eastAsia="Calibri" w:hAnsi="Times New Roman"/>
          <w:sz w:val="24"/>
          <w:szCs w:val="24"/>
        </w:rPr>
        <w:t xml:space="preserve"> volume</w:t>
      </w:r>
      <w:r>
        <w:rPr>
          <w:rFonts w:ascii="Times New Roman" w:eastAsia="Calibri" w:hAnsi="Times New Roman"/>
          <w:sz w:val="24"/>
          <w:szCs w:val="24"/>
        </w:rPr>
        <w:t xml:space="preserve"> and</w:t>
      </w:r>
      <w:r w:rsidRPr="000D065C">
        <w:rPr>
          <w:rFonts w:ascii="Times New Roman" w:eastAsia="Calibri" w:hAnsi="Times New Roman"/>
          <w:sz w:val="24"/>
          <w:szCs w:val="24"/>
        </w:rPr>
        <w:t xml:space="preserve"> LV diastolic dysfunction and LV hypertrophy. C</w:t>
      </w:r>
      <w:r>
        <w:rPr>
          <w:rFonts w:ascii="Times New Roman" w:eastAsia="Calibri" w:hAnsi="Times New Roman"/>
          <w:sz w:val="24"/>
          <w:szCs w:val="24"/>
        </w:rPr>
        <w:t>orrelate LA</w:t>
      </w:r>
      <w:r w:rsidRPr="000D065C">
        <w:rPr>
          <w:rFonts w:ascii="Times New Roman" w:eastAsia="Calibri" w:hAnsi="Times New Roman"/>
          <w:sz w:val="24"/>
          <w:szCs w:val="24"/>
        </w:rPr>
        <w:t xml:space="preserve"> volume with cardiovascular risk factors.</w:t>
      </w:r>
    </w:p>
    <w:p w:rsidR="00C536A2" w:rsidRPr="000D065C" w:rsidRDefault="00C536A2" w:rsidP="00C536A2">
      <w:pPr>
        <w:ind w:left="-567"/>
        <w:rPr>
          <w:rFonts w:ascii="Times New Roman" w:eastAsia="Calibri" w:hAnsi="Times New Roman"/>
          <w:sz w:val="24"/>
          <w:szCs w:val="24"/>
        </w:rPr>
      </w:pPr>
      <w:r w:rsidRPr="000D065C">
        <w:rPr>
          <w:rFonts w:ascii="Times New Roman" w:eastAsia="Calibri" w:hAnsi="Times New Roman"/>
          <w:b/>
          <w:sz w:val="24"/>
          <w:szCs w:val="24"/>
        </w:rPr>
        <w:t>Methodology</w:t>
      </w:r>
      <w:r w:rsidRPr="000D065C">
        <w:rPr>
          <w:rFonts w:ascii="Times New Roman" w:eastAsia="Calibri" w:hAnsi="Times New Roman"/>
          <w:sz w:val="24"/>
          <w:szCs w:val="24"/>
        </w:rPr>
        <w:t xml:space="preserve">- A total of 60 patients was included in the study. These patients underwent a screening echocardiography to diagnose left ventricular hypertrophy and diastolic dysfunction. </w:t>
      </w:r>
    </w:p>
    <w:p w:rsidR="00C536A2" w:rsidRPr="000D065C" w:rsidRDefault="00C536A2" w:rsidP="00C536A2">
      <w:pPr>
        <w:ind w:left="-567"/>
        <w:rPr>
          <w:rFonts w:ascii="Times New Roman" w:eastAsia="Calibri" w:hAnsi="Times New Roman"/>
          <w:sz w:val="24"/>
          <w:szCs w:val="24"/>
        </w:rPr>
      </w:pPr>
      <w:r w:rsidRPr="000D065C">
        <w:rPr>
          <w:rFonts w:ascii="Times New Roman" w:eastAsia="Calibri" w:hAnsi="Times New Roman"/>
          <w:b/>
          <w:sz w:val="24"/>
          <w:szCs w:val="24"/>
        </w:rPr>
        <w:t>Result</w:t>
      </w:r>
      <w:r w:rsidRPr="000D065C">
        <w:rPr>
          <w:rFonts w:ascii="Times New Roman" w:eastAsia="Calibri" w:hAnsi="Times New Roman"/>
          <w:sz w:val="24"/>
          <w:szCs w:val="24"/>
        </w:rPr>
        <w:t>- There is a significant correlation between left ventricular hypertrophy and diastolic dysfunction. 79% patients with evidence of diastolic dysfunction by tissue Doppler had a higher left atrial volume.</w:t>
      </w:r>
    </w:p>
    <w:p w:rsidR="00C536A2" w:rsidRPr="000D065C" w:rsidRDefault="00C536A2" w:rsidP="00C536A2">
      <w:pPr>
        <w:pStyle w:val="ListParagraph"/>
        <w:ind w:left="-567"/>
        <w:rPr>
          <w:rFonts w:ascii="Times New Roman" w:hAnsi="Times New Roman"/>
          <w:sz w:val="24"/>
          <w:szCs w:val="24"/>
        </w:rPr>
      </w:pPr>
      <w:r w:rsidRPr="000D065C">
        <w:rPr>
          <w:rFonts w:ascii="Times New Roman" w:hAnsi="Times New Roman"/>
          <w:b/>
          <w:sz w:val="24"/>
          <w:szCs w:val="24"/>
        </w:rPr>
        <w:t>Conclusion</w:t>
      </w:r>
      <w:r w:rsidRPr="000D065C">
        <w:rPr>
          <w:rFonts w:ascii="Times New Roman" w:hAnsi="Times New Roman"/>
          <w:sz w:val="24"/>
          <w:szCs w:val="24"/>
        </w:rPr>
        <w:t>- Increased left ventricular mass is associated with increasing severity of diastolic dysfunction. Increased left ventricular mass is also associated with increased left atrial volume indexed to body surface area. Left atrial volume correlates with the duration of diabetes mellitus. Increasing severity of left ventricular diastolic dysfunction correlates significantly with left atrial volume indexed to body surface area.  At milder degrees of diastolic dysfunction, left atrial enlargement may not be the best predictor of severity. But with increasing severity of diastolic dysfunction in left ventricular hypertrophy, left atrial volume indexed to body surface area may be a sensitive and easy marker for assessment of severity and thus the long term prognosis in terms of atrial fibrillation, stroke and mortality.</w:t>
      </w:r>
    </w:p>
    <w:p w:rsidR="00C536A2" w:rsidRDefault="00C536A2" w:rsidP="00C536A2">
      <w:pPr>
        <w:autoSpaceDE w:val="0"/>
        <w:autoSpaceDN w:val="0"/>
        <w:adjustRightInd w:val="0"/>
        <w:spacing w:after="0"/>
        <w:ind w:left="-567"/>
        <w:rPr>
          <w:rFonts w:ascii="Times New Roman" w:hAnsi="Times New Roman"/>
          <w:color w:val="000000"/>
          <w:sz w:val="24"/>
          <w:szCs w:val="24"/>
        </w:rPr>
      </w:pPr>
      <w:r w:rsidRPr="000D065C">
        <w:rPr>
          <w:rFonts w:ascii="Times New Roman" w:hAnsi="Times New Roman"/>
          <w:b/>
          <w:color w:val="000000"/>
          <w:sz w:val="24"/>
          <w:szCs w:val="24"/>
        </w:rPr>
        <w:t>Keywords</w:t>
      </w:r>
      <w:r w:rsidRPr="000D065C">
        <w:rPr>
          <w:rFonts w:ascii="Times New Roman" w:hAnsi="Times New Roman"/>
          <w:color w:val="000000"/>
          <w:sz w:val="24"/>
          <w:szCs w:val="24"/>
        </w:rPr>
        <w:t>- diastolic dysfunction,</w:t>
      </w:r>
      <w:r w:rsidRPr="000D065C">
        <w:rPr>
          <w:rFonts w:ascii="Times New Roman" w:eastAsia="Calibri" w:hAnsi="Times New Roman"/>
          <w:sz w:val="24"/>
          <w:szCs w:val="24"/>
        </w:rPr>
        <w:t xml:space="preserve"> hypertrophy, Doppler, echocardiography</w:t>
      </w:r>
    </w:p>
    <w:p w:rsidR="00C536A2" w:rsidRPr="000D065C" w:rsidRDefault="00C536A2" w:rsidP="00C536A2">
      <w:pPr>
        <w:autoSpaceDE w:val="0"/>
        <w:autoSpaceDN w:val="0"/>
        <w:adjustRightInd w:val="0"/>
        <w:spacing w:after="0"/>
        <w:ind w:left="-567"/>
        <w:rPr>
          <w:rFonts w:ascii="Times New Roman" w:hAnsi="Times New Roman"/>
          <w:b/>
          <w:color w:val="000000"/>
          <w:sz w:val="24"/>
          <w:szCs w:val="24"/>
        </w:rPr>
      </w:pPr>
      <w:r w:rsidRPr="000D065C">
        <w:rPr>
          <w:rFonts w:ascii="Times New Roman" w:hAnsi="Times New Roman"/>
          <w:b/>
          <w:sz w:val="24"/>
          <w:szCs w:val="24"/>
          <w:u w:val="single"/>
        </w:rPr>
        <w:t>Declaration:</w:t>
      </w:r>
    </w:p>
    <w:p w:rsidR="00C536A2" w:rsidRDefault="00C536A2" w:rsidP="00C536A2">
      <w:pPr>
        <w:autoSpaceDE w:val="0"/>
        <w:autoSpaceDN w:val="0"/>
        <w:adjustRightInd w:val="0"/>
        <w:spacing w:after="0"/>
        <w:ind w:left="-567"/>
        <w:rPr>
          <w:rFonts w:ascii="Times New Roman" w:hAnsi="Times New Roman"/>
          <w:sz w:val="24"/>
          <w:szCs w:val="24"/>
        </w:rPr>
      </w:pPr>
      <w:r w:rsidRPr="000D065C">
        <w:rPr>
          <w:rFonts w:ascii="Times New Roman" w:hAnsi="Times New Roman"/>
          <w:b/>
          <w:iCs/>
          <w:sz w:val="24"/>
          <w:szCs w:val="24"/>
        </w:rPr>
        <w:t>Funding</w:t>
      </w:r>
      <w:r w:rsidRPr="000D065C">
        <w:rPr>
          <w:rFonts w:ascii="Times New Roman" w:hAnsi="Times New Roman"/>
          <w:iCs/>
          <w:sz w:val="24"/>
          <w:szCs w:val="24"/>
        </w:rPr>
        <w:t>:</w:t>
      </w:r>
      <w:r w:rsidRPr="000D065C">
        <w:rPr>
          <w:rFonts w:ascii="Times New Roman" w:hAnsi="Times New Roman"/>
          <w:sz w:val="24"/>
          <w:szCs w:val="24"/>
        </w:rPr>
        <w:t xml:space="preserve"> This research did not receive any specific grant from funding agencies in the public, commercial, or not-for-profit sectors.</w:t>
      </w:r>
    </w:p>
    <w:p w:rsidR="00C536A2" w:rsidRDefault="00C536A2" w:rsidP="00C536A2">
      <w:pPr>
        <w:autoSpaceDE w:val="0"/>
        <w:autoSpaceDN w:val="0"/>
        <w:adjustRightInd w:val="0"/>
        <w:spacing w:after="0"/>
        <w:ind w:left="-567"/>
        <w:rPr>
          <w:rFonts w:ascii="Times New Roman" w:hAnsi="Times New Roman"/>
          <w:sz w:val="24"/>
          <w:szCs w:val="24"/>
        </w:rPr>
      </w:pPr>
    </w:p>
    <w:p w:rsidR="00C536A2" w:rsidRPr="000D065C" w:rsidRDefault="00C536A2" w:rsidP="00C536A2">
      <w:pPr>
        <w:autoSpaceDE w:val="0"/>
        <w:autoSpaceDN w:val="0"/>
        <w:adjustRightInd w:val="0"/>
        <w:spacing w:after="0"/>
        <w:ind w:left="-567"/>
        <w:rPr>
          <w:rFonts w:ascii="Times New Roman" w:hAnsi="Times New Roman"/>
          <w:color w:val="000000"/>
          <w:sz w:val="24"/>
          <w:szCs w:val="24"/>
        </w:rPr>
      </w:pPr>
      <w:r w:rsidRPr="000D065C">
        <w:rPr>
          <w:rFonts w:ascii="Times New Roman" w:hAnsi="Times New Roman"/>
          <w:b/>
          <w:iCs/>
          <w:sz w:val="24"/>
          <w:szCs w:val="24"/>
        </w:rPr>
        <w:t>Conflict of interest</w:t>
      </w:r>
      <w:r w:rsidRPr="000D065C">
        <w:rPr>
          <w:rFonts w:ascii="Times New Roman" w:hAnsi="Times New Roman"/>
          <w:iCs/>
          <w:sz w:val="24"/>
          <w:szCs w:val="24"/>
        </w:rPr>
        <w:t>: None declared</w:t>
      </w:r>
    </w:p>
    <w:p w:rsidR="007A2F28" w:rsidRDefault="007A2F28"/>
    <w:sectPr w:rsidR="007A2F2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grammar="clean"/>
  <w:defaultTabStop w:val="720"/>
  <w:characterSpacingControl w:val="doNotCompress"/>
  <w:compat>
    <w:useFELayout/>
  </w:compat>
  <w:rsids>
    <w:rsidRoot w:val="00C536A2"/>
    <w:rsid w:val="007A2F28"/>
    <w:rsid w:val="00C536A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6A2"/>
    <w:pPr>
      <w:ind w:left="720"/>
      <w:contextualSpacing/>
    </w:pPr>
    <w:rPr>
      <w:rFonts w:ascii="Calibri" w:eastAsia="Calibri" w:hAnsi="Calibri"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1591</Characters>
  <Application>Microsoft Office Word</Application>
  <DocSecurity>0</DocSecurity>
  <Lines>13</Lines>
  <Paragraphs>3</Paragraphs>
  <ScaleCrop>false</ScaleCrop>
  <Company>Hewlett-Packard</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2017-07-18T16:36:00Z</dcterms:created>
  <dcterms:modified xsi:type="dcterms:W3CDTF">2017-07-18T16:37:00Z</dcterms:modified>
</cp:coreProperties>
</file>