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221FE" w14:textId="75CDD2C9" w:rsidR="00383834" w:rsidRDefault="00673ABA">
      <w:r w:rsidRPr="001A3845">
        <w:rPr>
          <w:b/>
        </w:rPr>
        <w:t>Title:</w:t>
      </w:r>
      <w:r>
        <w:t xml:space="preserve"> Relationship of </w:t>
      </w:r>
      <w:proofErr w:type="spellStart"/>
      <w:r w:rsidR="00A163DD">
        <w:t>transeptal</w:t>
      </w:r>
      <w:proofErr w:type="spellEnd"/>
      <w:r w:rsidR="00A163DD">
        <w:t xml:space="preserve"> puncture </w:t>
      </w:r>
      <w:r w:rsidR="00C235FD">
        <w:t xml:space="preserve">(TSP) </w:t>
      </w:r>
      <w:r w:rsidR="00A163DD">
        <w:t>s</w:t>
      </w:r>
      <w:r>
        <w:t>ite to the No</w:t>
      </w:r>
      <w:r w:rsidR="00A163DD">
        <w:t xml:space="preserve">n-Coronary Cusp of Aortic Valve. </w:t>
      </w:r>
    </w:p>
    <w:p w14:paraId="191EC553" w14:textId="77777777" w:rsidR="00673ABA" w:rsidRDefault="00673ABA"/>
    <w:p w14:paraId="4C84AF88" w14:textId="77777777" w:rsidR="00673ABA" w:rsidRDefault="00673ABA">
      <w:r w:rsidRPr="001A3845">
        <w:rPr>
          <w:b/>
        </w:rPr>
        <w:t>Author:</w:t>
      </w:r>
      <w:r>
        <w:t xml:space="preserve"> Rhea Verma, Sumit Verma, </w:t>
      </w:r>
      <w:proofErr w:type="gramStart"/>
      <w:r>
        <w:t>M.D</w:t>
      </w:r>
      <w:proofErr w:type="gramEnd"/>
      <w:r>
        <w:t>.</w:t>
      </w:r>
    </w:p>
    <w:p w14:paraId="194EDEF5" w14:textId="77777777" w:rsidR="00673ABA" w:rsidRDefault="00673ABA"/>
    <w:p w14:paraId="01CC1BB9" w14:textId="77777777" w:rsidR="00673ABA" w:rsidRPr="001A3845" w:rsidRDefault="00673ABA">
      <w:pPr>
        <w:rPr>
          <w:b/>
        </w:rPr>
      </w:pPr>
      <w:r w:rsidRPr="001A3845">
        <w:rPr>
          <w:b/>
        </w:rPr>
        <w:t xml:space="preserve">Background: </w:t>
      </w:r>
    </w:p>
    <w:p w14:paraId="0E503CF6" w14:textId="09339EED" w:rsidR="00673ABA" w:rsidRDefault="009D5F4E">
      <w:r>
        <w:t>Methods for performi</w:t>
      </w:r>
      <w:r w:rsidR="00C235FD">
        <w:t>ng TSP have evolved</w:t>
      </w:r>
      <w:r w:rsidR="003608E6">
        <w:t xml:space="preserve"> over time</w:t>
      </w:r>
      <w:r w:rsidR="00C235FD">
        <w:t xml:space="preserve">. </w:t>
      </w:r>
      <w:proofErr w:type="spellStart"/>
      <w:r w:rsidR="00C235FD">
        <w:t>I</w:t>
      </w:r>
      <w:r>
        <w:t>ntracardiac</w:t>
      </w:r>
      <w:proofErr w:type="spellEnd"/>
      <w:r>
        <w:t xml:space="preserve"> echo (ICE) </w:t>
      </w:r>
      <w:r w:rsidR="003608E6">
        <w:t>is standard in most practices for</w:t>
      </w:r>
      <w:r>
        <w:t xml:space="preserve"> TSP during atrial fibrillation (AF) ablation. </w:t>
      </w:r>
      <w:r w:rsidR="003608E6">
        <w:t>However, t</w:t>
      </w:r>
      <w:r>
        <w:t>his has added significant cost to the procedure. We studied the feasibility of using aortic root angiography, specifically the relationship of TSP site to non-coronary cusp (NCC) of aortic valve</w:t>
      </w:r>
      <w:r w:rsidR="003608E6">
        <w:t xml:space="preserve"> to help facilitate needle localization prior to TSP. </w:t>
      </w:r>
      <w:r>
        <w:t xml:space="preserve"> </w:t>
      </w:r>
    </w:p>
    <w:p w14:paraId="373F580D" w14:textId="77777777" w:rsidR="009D5F4E" w:rsidRPr="001A3845" w:rsidRDefault="009D5F4E">
      <w:pPr>
        <w:rPr>
          <w:b/>
        </w:rPr>
      </w:pPr>
    </w:p>
    <w:p w14:paraId="1421BB6C" w14:textId="77777777" w:rsidR="009D5F4E" w:rsidRPr="001A3845" w:rsidRDefault="009D5F4E">
      <w:pPr>
        <w:rPr>
          <w:b/>
        </w:rPr>
      </w:pPr>
      <w:r w:rsidRPr="001A3845">
        <w:rPr>
          <w:b/>
        </w:rPr>
        <w:t>Methods:</w:t>
      </w:r>
    </w:p>
    <w:p w14:paraId="6D1FE9C2" w14:textId="48213273" w:rsidR="009D5F4E" w:rsidRDefault="009D5F4E">
      <w:pPr>
        <w:rPr>
          <w:rFonts w:ascii="Cambria" w:hAnsi="Cambria"/>
        </w:rPr>
      </w:pPr>
      <w:r>
        <w:t xml:space="preserve">111 consecutive patients undergoing AF ablation were enrolled. Aortic root angiography was performed by placing </w:t>
      </w:r>
      <w:proofErr w:type="gramStart"/>
      <w:r>
        <w:t>a</w:t>
      </w:r>
      <w:proofErr w:type="gramEnd"/>
      <w:r>
        <w:t xml:space="preserve"> angled pigtail catheter in the NCC. Images were taken in the RAO 45</w:t>
      </w:r>
      <w:r>
        <w:rPr>
          <w:rFonts w:ascii="Cambria" w:hAnsi="Cambria"/>
        </w:rPr>
        <w:t xml:space="preserve">° and LAO 30°. The </w:t>
      </w:r>
      <w:proofErr w:type="spellStart"/>
      <w:r>
        <w:rPr>
          <w:rFonts w:ascii="Cambria" w:hAnsi="Cambria"/>
        </w:rPr>
        <w:t>Brockenbrough</w:t>
      </w:r>
      <w:proofErr w:type="spellEnd"/>
      <w:r>
        <w:rPr>
          <w:rFonts w:ascii="Cambria" w:hAnsi="Cambria"/>
        </w:rPr>
        <w:t xml:space="preserve"> needle was introduced in the SL1 sheath and retracted until it fell in the Fossa </w:t>
      </w:r>
      <w:proofErr w:type="spellStart"/>
      <w:r>
        <w:rPr>
          <w:rFonts w:ascii="Cambria" w:hAnsi="Cambria"/>
        </w:rPr>
        <w:t>Ovalis</w:t>
      </w:r>
      <w:proofErr w:type="spellEnd"/>
      <w:r w:rsidR="00C26CB9">
        <w:rPr>
          <w:rFonts w:ascii="Cambria" w:hAnsi="Cambria"/>
        </w:rPr>
        <w:t xml:space="preserve"> (FO)</w:t>
      </w:r>
      <w:r>
        <w:rPr>
          <w:rFonts w:ascii="Cambria" w:hAnsi="Cambria"/>
        </w:rPr>
        <w:t xml:space="preserve">. Relationship of TSP site to NCC was recorded. </w:t>
      </w:r>
      <w:r w:rsidR="00464663">
        <w:rPr>
          <w:rFonts w:ascii="Cambria" w:hAnsi="Cambria"/>
        </w:rPr>
        <w:t xml:space="preserve">ICE was required for </w:t>
      </w:r>
      <w:r w:rsidR="00C26CB9">
        <w:rPr>
          <w:rFonts w:ascii="Cambria" w:hAnsi="Cambria"/>
        </w:rPr>
        <w:t>various reasons</w:t>
      </w:r>
      <w:r w:rsidR="003608E6">
        <w:rPr>
          <w:rFonts w:ascii="Cambria" w:hAnsi="Cambria"/>
        </w:rPr>
        <w:t xml:space="preserve"> in some patients (</w:t>
      </w:r>
      <w:r w:rsidR="00A163DD">
        <w:rPr>
          <w:rFonts w:ascii="Cambria" w:hAnsi="Cambria"/>
        </w:rPr>
        <w:t xml:space="preserve">IVP dye allergy, severe Vascular disease, severe atrial enlargement, </w:t>
      </w:r>
      <w:r w:rsidR="003608E6">
        <w:rPr>
          <w:rFonts w:ascii="Cambria" w:hAnsi="Cambria"/>
        </w:rPr>
        <w:t xml:space="preserve">other </w:t>
      </w:r>
      <w:r w:rsidR="00A163DD">
        <w:rPr>
          <w:rFonts w:ascii="Cambria" w:hAnsi="Cambria"/>
        </w:rPr>
        <w:t>anatomical variants)</w:t>
      </w:r>
      <w:r w:rsidR="00C26CB9">
        <w:rPr>
          <w:rFonts w:ascii="Cambria" w:hAnsi="Cambria"/>
        </w:rPr>
        <w:t xml:space="preserve">. </w:t>
      </w:r>
      <w:r w:rsidR="003608E6">
        <w:rPr>
          <w:rFonts w:ascii="Cambria" w:hAnsi="Cambria"/>
        </w:rPr>
        <w:t xml:space="preserve"> </w:t>
      </w:r>
      <w:r w:rsidR="00C26CB9">
        <w:rPr>
          <w:rFonts w:ascii="Cambria" w:hAnsi="Cambria"/>
        </w:rPr>
        <w:t xml:space="preserve">The degree of tenting of FO was </w:t>
      </w:r>
      <w:r w:rsidR="003608E6">
        <w:rPr>
          <w:rFonts w:ascii="Cambria" w:hAnsi="Cambria"/>
        </w:rPr>
        <w:t>also recorded in relationship to aortic margins in LAO 30°.</w:t>
      </w:r>
    </w:p>
    <w:p w14:paraId="7C57BB46" w14:textId="77777777" w:rsidR="00C26CB9" w:rsidRDefault="00C26CB9">
      <w:pPr>
        <w:rPr>
          <w:rFonts w:ascii="Cambria" w:hAnsi="Cambria"/>
        </w:rPr>
      </w:pPr>
    </w:p>
    <w:p w14:paraId="4CB859C0" w14:textId="77777777" w:rsidR="00C26CB9" w:rsidRPr="001A3845" w:rsidRDefault="00C26CB9">
      <w:pPr>
        <w:rPr>
          <w:rFonts w:ascii="Cambria" w:hAnsi="Cambria"/>
          <w:b/>
        </w:rPr>
      </w:pPr>
      <w:r w:rsidRPr="001A3845">
        <w:rPr>
          <w:rFonts w:ascii="Cambria" w:hAnsi="Cambria"/>
          <w:b/>
        </w:rPr>
        <w:t>Results:</w:t>
      </w:r>
    </w:p>
    <w:p w14:paraId="5757F530" w14:textId="23592213" w:rsidR="00C26CB9" w:rsidRDefault="00C26CB9">
      <w:r>
        <w:t xml:space="preserve">There is a strong relationship between the </w:t>
      </w:r>
      <w:r w:rsidR="003608E6">
        <w:t xml:space="preserve">TSP site and </w:t>
      </w:r>
      <w:r>
        <w:t xml:space="preserve">margins of the NCC In </w:t>
      </w:r>
      <w:r w:rsidR="00A163DD">
        <w:t>97/107</w:t>
      </w:r>
      <w:r w:rsidR="00D3017B">
        <w:t xml:space="preserve"> (90.1%)</w:t>
      </w:r>
      <w:r w:rsidR="00A163DD">
        <w:t xml:space="preserve"> </w:t>
      </w:r>
      <w:r>
        <w:t xml:space="preserve">patients, TSP was completed successfully by positioning the needle </w:t>
      </w:r>
      <w:r w:rsidR="00A163DD">
        <w:t>posterior</w:t>
      </w:r>
      <w:r>
        <w:t xml:space="preserve"> to </w:t>
      </w:r>
      <w:r w:rsidR="00A163DD">
        <w:t>but within the inferior and superior margins of NCC in RAO</w:t>
      </w:r>
      <w:r>
        <w:t xml:space="preserve">. In a few patients, the needle was above </w:t>
      </w:r>
      <w:r w:rsidR="00A163DD">
        <w:t>(2/107</w:t>
      </w:r>
      <w:r w:rsidR="00D3017B">
        <w:t>-1.8%</w:t>
      </w:r>
      <w:r w:rsidR="00A163DD">
        <w:t xml:space="preserve">) </w:t>
      </w:r>
      <w:r>
        <w:t xml:space="preserve">or below </w:t>
      </w:r>
      <w:r w:rsidR="00A163DD">
        <w:t>(8/107</w:t>
      </w:r>
      <w:r w:rsidR="003608E6">
        <w:t>-7.4%</w:t>
      </w:r>
      <w:r w:rsidR="00A163DD">
        <w:t xml:space="preserve">) </w:t>
      </w:r>
      <w:r>
        <w:t>NCC. Variable degrees of tenting were visualized</w:t>
      </w:r>
      <w:r w:rsidR="00D3017B">
        <w:t xml:space="preserve"> (mild 16/107,mod 53/107, severe 38/107)</w:t>
      </w:r>
      <w:r>
        <w:t xml:space="preserve">. ICE was required in </w:t>
      </w:r>
      <w:r w:rsidR="00A163DD">
        <w:t>11/111 (10%)</w:t>
      </w:r>
      <w:r>
        <w:t xml:space="preserve"> of patients where this meth</w:t>
      </w:r>
      <w:r w:rsidR="00A163DD">
        <w:t>od was unsuccessful.</w:t>
      </w:r>
      <w:r w:rsidR="003608E6">
        <w:t xml:space="preserve"> Angiographic data was available in 107 patients. No cases of </w:t>
      </w:r>
      <w:proofErr w:type="spellStart"/>
      <w:r w:rsidR="003608E6">
        <w:t>extracardiac</w:t>
      </w:r>
      <w:proofErr w:type="spellEnd"/>
      <w:r w:rsidR="003608E6">
        <w:t xml:space="preserve"> puncture were recorded </w:t>
      </w:r>
      <w:proofErr w:type="spellStart"/>
      <w:r w:rsidR="003608E6">
        <w:t>ie</w:t>
      </w:r>
      <w:proofErr w:type="spellEnd"/>
      <w:r w:rsidR="003608E6">
        <w:t xml:space="preserve"> no </w:t>
      </w:r>
      <w:proofErr w:type="spellStart"/>
      <w:r w:rsidR="003608E6">
        <w:t>tamponade</w:t>
      </w:r>
      <w:proofErr w:type="spellEnd"/>
      <w:r w:rsidR="003608E6">
        <w:t xml:space="preserve"> or dye extravasation. </w:t>
      </w:r>
    </w:p>
    <w:p w14:paraId="6466157E" w14:textId="77777777" w:rsidR="00C26CB9" w:rsidRDefault="00C26CB9"/>
    <w:p w14:paraId="3B53618F" w14:textId="77777777" w:rsidR="00C26CB9" w:rsidRPr="001A3845" w:rsidRDefault="00C26CB9">
      <w:pPr>
        <w:rPr>
          <w:b/>
        </w:rPr>
      </w:pPr>
      <w:r w:rsidRPr="001A3845">
        <w:rPr>
          <w:b/>
        </w:rPr>
        <w:t>Conclusions:</w:t>
      </w:r>
    </w:p>
    <w:p w14:paraId="08D27C2D" w14:textId="77E5C748" w:rsidR="00C26CB9" w:rsidRDefault="00C26CB9">
      <w:r>
        <w:t xml:space="preserve">TSP can be completed safely in the majority of patients using aortic root angiography and relationship to NCC as guidance. This can allow significant cost savings by using ICE in AF ablation </w:t>
      </w:r>
      <w:r w:rsidR="003608E6">
        <w:t xml:space="preserve">only </w:t>
      </w:r>
      <w:r>
        <w:t xml:space="preserve">in </w:t>
      </w:r>
      <w:r w:rsidR="003608E6">
        <w:t xml:space="preserve">selected cases. </w:t>
      </w:r>
    </w:p>
    <w:p w14:paraId="20196DE7" w14:textId="77777777" w:rsidR="00D3017B" w:rsidRDefault="00D3017B"/>
    <w:tbl>
      <w:tblPr>
        <w:tblW w:w="3900" w:type="dxa"/>
        <w:tblInd w:w="93" w:type="dxa"/>
        <w:tblLook w:val="04A0" w:firstRow="1" w:lastRow="0" w:firstColumn="1" w:lastColumn="0" w:noHBand="0" w:noVBand="1"/>
      </w:tblPr>
      <w:tblGrid>
        <w:gridCol w:w="1300"/>
        <w:gridCol w:w="1300"/>
        <w:gridCol w:w="1300"/>
      </w:tblGrid>
      <w:tr w:rsidR="00C235FD" w:rsidRPr="00C235FD" w14:paraId="486AC3EA" w14:textId="77777777" w:rsidTr="00C235FD">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6D2C12"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R1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5E407545"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2</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69DFC3E3"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1.8%</w:t>
            </w:r>
          </w:p>
        </w:tc>
      </w:tr>
      <w:tr w:rsidR="00C235FD" w:rsidRPr="00C235FD" w14:paraId="5BA8C255" w14:textId="77777777" w:rsidTr="00C235FD">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2EAC9CA"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R2</w:t>
            </w:r>
          </w:p>
        </w:tc>
        <w:tc>
          <w:tcPr>
            <w:tcW w:w="1300" w:type="dxa"/>
            <w:tcBorders>
              <w:top w:val="nil"/>
              <w:left w:val="nil"/>
              <w:bottom w:val="single" w:sz="4" w:space="0" w:color="auto"/>
              <w:right w:val="single" w:sz="4" w:space="0" w:color="auto"/>
            </w:tcBorders>
            <w:shd w:val="clear" w:color="auto" w:fill="auto"/>
            <w:noWrap/>
            <w:vAlign w:val="bottom"/>
            <w:hideMark/>
          </w:tcPr>
          <w:p w14:paraId="444C25CC"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97</w:t>
            </w:r>
          </w:p>
        </w:tc>
        <w:tc>
          <w:tcPr>
            <w:tcW w:w="1300" w:type="dxa"/>
            <w:tcBorders>
              <w:top w:val="nil"/>
              <w:left w:val="nil"/>
              <w:bottom w:val="single" w:sz="4" w:space="0" w:color="auto"/>
              <w:right w:val="single" w:sz="4" w:space="0" w:color="auto"/>
            </w:tcBorders>
            <w:shd w:val="clear" w:color="auto" w:fill="auto"/>
            <w:noWrap/>
            <w:vAlign w:val="bottom"/>
            <w:hideMark/>
          </w:tcPr>
          <w:p w14:paraId="3852CDAA"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90.1%</w:t>
            </w:r>
          </w:p>
        </w:tc>
      </w:tr>
      <w:tr w:rsidR="00C235FD" w:rsidRPr="00C235FD" w14:paraId="0B01A50F" w14:textId="77777777" w:rsidTr="00C235FD">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4340CF8"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R3</w:t>
            </w:r>
          </w:p>
        </w:tc>
        <w:tc>
          <w:tcPr>
            <w:tcW w:w="1300" w:type="dxa"/>
            <w:tcBorders>
              <w:top w:val="nil"/>
              <w:left w:val="nil"/>
              <w:bottom w:val="single" w:sz="4" w:space="0" w:color="auto"/>
              <w:right w:val="single" w:sz="4" w:space="0" w:color="auto"/>
            </w:tcBorders>
            <w:shd w:val="clear" w:color="auto" w:fill="auto"/>
            <w:noWrap/>
            <w:vAlign w:val="bottom"/>
            <w:hideMark/>
          </w:tcPr>
          <w:p w14:paraId="0BE27AFC"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8</w:t>
            </w:r>
          </w:p>
        </w:tc>
        <w:tc>
          <w:tcPr>
            <w:tcW w:w="1300" w:type="dxa"/>
            <w:tcBorders>
              <w:top w:val="nil"/>
              <w:left w:val="nil"/>
              <w:bottom w:val="single" w:sz="4" w:space="0" w:color="auto"/>
              <w:right w:val="single" w:sz="4" w:space="0" w:color="auto"/>
            </w:tcBorders>
            <w:shd w:val="clear" w:color="auto" w:fill="auto"/>
            <w:noWrap/>
            <w:vAlign w:val="bottom"/>
            <w:hideMark/>
          </w:tcPr>
          <w:p w14:paraId="0A94D6D0"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7.4%</w:t>
            </w:r>
          </w:p>
        </w:tc>
      </w:tr>
      <w:tr w:rsidR="00C235FD" w:rsidRPr="00C235FD" w14:paraId="1E4E8E59" w14:textId="77777777" w:rsidTr="00C235FD">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925EC77"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bottom"/>
            <w:hideMark/>
          </w:tcPr>
          <w:p w14:paraId="1EED7E07"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bottom"/>
            <w:hideMark/>
          </w:tcPr>
          <w:p w14:paraId="1808A27F"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 </w:t>
            </w:r>
          </w:p>
        </w:tc>
      </w:tr>
      <w:tr w:rsidR="00C235FD" w:rsidRPr="00C235FD" w14:paraId="33DD0415" w14:textId="77777777" w:rsidTr="00C235FD">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6B7A640"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L1</w:t>
            </w:r>
          </w:p>
        </w:tc>
        <w:tc>
          <w:tcPr>
            <w:tcW w:w="1300" w:type="dxa"/>
            <w:tcBorders>
              <w:top w:val="nil"/>
              <w:left w:val="nil"/>
              <w:bottom w:val="single" w:sz="4" w:space="0" w:color="auto"/>
              <w:right w:val="single" w:sz="4" w:space="0" w:color="auto"/>
            </w:tcBorders>
            <w:shd w:val="clear" w:color="auto" w:fill="auto"/>
            <w:noWrap/>
            <w:vAlign w:val="bottom"/>
            <w:hideMark/>
          </w:tcPr>
          <w:p w14:paraId="0E71CEC1"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16</w:t>
            </w:r>
          </w:p>
        </w:tc>
        <w:tc>
          <w:tcPr>
            <w:tcW w:w="1300" w:type="dxa"/>
            <w:tcBorders>
              <w:top w:val="nil"/>
              <w:left w:val="nil"/>
              <w:bottom w:val="single" w:sz="4" w:space="0" w:color="auto"/>
              <w:right w:val="single" w:sz="4" w:space="0" w:color="auto"/>
            </w:tcBorders>
            <w:shd w:val="clear" w:color="auto" w:fill="auto"/>
            <w:noWrap/>
            <w:vAlign w:val="bottom"/>
            <w:hideMark/>
          </w:tcPr>
          <w:p w14:paraId="3F156C00"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14.9%</w:t>
            </w:r>
          </w:p>
        </w:tc>
      </w:tr>
      <w:tr w:rsidR="00C235FD" w:rsidRPr="00C235FD" w14:paraId="171541C7" w14:textId="77777777" w:rsidTr="00C235FD">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0F2696E"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L2</w:t>
            </w:r>
          </w:p>
        </w:tc>
        <w:tc>
          <w:tcPr>
            <w:tcW w:w="1300" w:type="dxa"/>
            <w:tcBorders>
              <w:top w:val="nil"/>
              <w:left w:val="nil"/>
              <w:bottom w:val="single" w:sz="4" w:space="0" w:color="auto"/>
              <w:right w:val="single" w:sz="4" w:space="0" w:color="auto"/>
            </w:tcBorders>
            <w:shd w:val="clear" w:color="auto" w:fill="auto"/>
            <w:noWrap/>
            <w:vAlign w:val="bottom"/>
            <w:hideMark/>
          </w:tcPr>
          <w:p w14:paraId="2EC36599"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53</w:t>
            </w:r>
          </w:p>
        </w:tc>
        <w:tc>
          <w:tcPr>
            <w:tcW w:w="1300" w:type="dxa"/>
            <w:tcBorders>
              <w:top w:val="nil"/>
              <w:left w:val="nil"/>
              <w:bottom w:val="single" w:sz="4" w:space="0" w:color="auto"/>
              <w:right w:val="single" w:sz="4" w:space="0" w:color="auto"/>
            </w:tcBorders>
            <w:shd w:val="clear" w:color="auto" w:fill="auto"/>
            <w:noWrap/>
            <w:vAlign w:val="bottom"/>
            <w:hideMark/>
          </w:tcPr>
          <w:p w14:paraId="191D60BF"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49.5%</w:t>
            </w:r>
          </w:p>
        </w:tc>
      </w:tr>
      <w:tr w:rsidR="00C235FD" w:rsidRPr="00C235FD" w14:paraId="29412A8E" w14:textId="77777777" w:rsidTr="00C235FD">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5892039"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L3</w:t>
            </w:r>
          </w:p>
        </w:tc>
        <w:tc>
          <w:tcPr>
            <w:tcW w:w="1300" w:type="dxa"/>
            <w:tcBorders>
              <w:top w:val="nil"/>
              <w:left w:val="nil"/>
              <w:bottom w:val="single" w:sz="4" w:space="0" w:color="auto"/>
              <w:right w:val="single" w:sz="4" w:space="0" w:color="auto"/>
            </w:tcBorders>
            <w:shd w:val="clear" w:color="auto" w:fill="auto"/>
            <w:noWrap/>
            <w:vAlign w:val="bottom"/>
            <w:hideMark/>
          </w:tcPr>
          <w:p w14:paraId="18A5F5A3"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38</w:t>
            </w:r>
          </w:p>
        </w:tc>
        <w:tc>
          <w:tcPr>
            <w:tcW w:w="1300" w:type="dxa"/>
            <w:tcBorders>
              <w:top w:val="nil"/>
              <w:left w:val="nil"/>
              <w:bottom w:val="single" w:sz="4" w:space="0" w:color="auto"/>
              <w:right w:val="single" w:sz="4" w:space="0" w:color="auto"/>
            </w:tcBorders>
            <w:shd w:val="clear" w:color="auto" w:fill="auto"/>
            <w:noWrap/>
            <w:vAlign w:val="bottom"/>
            <w:hideMark/>
          </w:tcPr>
          <w:p w14:paraId="31CD3A45" w14:textId="77777777" w:rsidR="00C235FD" w:rsidRPr="00C235FD" w:rsidRDefault="00C235FD" w:rsidP="00C235FD">
            <w:pPr>
              <w:jc w:val="right"/>
              <w:rPr>
                <w:rFonts w:ascii="Calibri" w:eastAsia="Times New Roman" w:hAnsi="Calibri" w:cs="Times New Roman"/>
                <w:color w:val="000000"/>
              </w:rPr>
            </w:pPr>
            <w:r w:rsidRPr="00C235FD">
              <w:rPr>
                <w:rFonts w:ascii="Calibri" w:eastAsia="Times New Roman" w:hAnsi="Calibri" w:cs="Times New Roman"/>
                <w:color w:val="000000"/>
              </w:rPr>
              <w:t>35.5%</w:t>
            </w:r>
          </w:p>
        </w:tc>
      </w:tr>
      <w:tr w:rsidR="00C235FD" w:rsidRPr="00C235FD" w14:paraId="63E03C2E" w14:textId="77777777" w:rsidTr="00C235FD">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3C65557"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N=107</w:t>
            </w:r>
          </w:p>
        </w:tc>
        <w:tc>
          <w:tcPr>
            <w:tcW w:w="1300" w:type="dxa"/>
            <w:tcBorders>
              <w:top w:val="nil"/>
              <w:left w:val="nil"/>
              <w:bottom w:val="single" w:sz="4" w:space="0" w:color="auto"/>
              <w:right w:val="single" w:sz="4" w:space="0" w:color="auto"/>
            </w:tcBorders>
            <w:shd w:val="clear" w:color="auto" w:fill="auto"/>
            <w:noWrap/>
            <w:vAlign w:val="bottom"/>
            <w:hideMark/>
          </w:tcPr>
          <w:p w14:paraId="1AC4DE72"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bottom"/>
            <w:hideMark/>
          </w:tcPr>
          <w:p w14:paraId="0D968E5D" w14:textId="77777777" w:rsidR="00C235FD" w:rsidRPr="00C235FD" w:rsidRDefault="00C235FD" w:rsidP="00C235FD">
            <w:pPr>
              <w:rPr>
                <w:rFonts w:ascii="Calibri" w:eastAsia="Times New Roman" w:hAnsi="Calibri" w:cs="Times New Roman"/>
                <w:color w:val="000000"/>
              </w:rPr>
            </w:pPr>
            <w:r w:rsidRPr="00C235FD">
              <w:rPr>
                <w:rFonts w:ascii="Calibri" w:eastAsia="Times New Roman" w:hAnsi="Calibri" w:cs="Times New Roman"/>
                <w:color w:val="000000"/>
              </w:rPr>
              <w:t> </w:t>
            </w:r>
          </w:p>
        </w:tc>
      </w:tr>
    </w:tbl>
    <w:p w14:paraId="0A99F1BE" w14:textId="39F2A8CB" w:rsidR="00D3017B" w:rsidRDefault="001A3845" w:rsidP="001A3845">
      <w:r>
        <w:rPr>
          <w:noProof/>
        </w:rPr>
        <w:lastRenderedPageBreak/>
        <w:drawing>
          <wp:inline distT="0" distB="0" distL="0" distR="0" wp14:anchorId="02046F94" wp14:editId="6B1D6A3F">
            <wp:extent cx="2169294" cy="289239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79-1.jpg"/>
                    <pic:cNvPicPr/>
                  </pic:nvPicPr>
                  <pic:blipFill>
                    <a:blip r:embed="rId5">
                      <a:extLst>
                        <a:ext uri="{28A0092B-C50C-407E-A947-70E740481C1C}">
                          <a14:useLocalDpi xmlns:a14="http://schemas.microsoft.com/office/drawing/2010/main" val="0"/>
                        </a:ext>
                      </a:extLst>
                    </a:blip>
                    <a:stretch>
                      <a:fillRect/>
                    </a:stretch>
                  </pic:blipFill>
                  <pic:spPr>
                    <a:xfrm>
                      <a:off x="0" y="0"/>
                      <a:ext cx="2169799" cy="2893064"/>
                    </a:xfrm>
                    <a:prstGeom prst="rect">
                      <a:avLst/>
                    </a:prstGeom>
                  </pic:spPr>
                </pic:pic>
              </a:graphicData>
            </a:graphic>
          </wp:inline>
        </w:drawing>
      </w:r>
      <w:r>
        <w:rPr>
          <w:noProof/>
        </w:rPr>
        <w:drawing>
          <wp:inline distT="0" distB="0" distL="0" distR="0" wp14:anchorId="2D424738" wp14:editId="11C73B9A">
            <wp:extent cx="2175309" cy="2900411"/>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80.jpg"/>
                    <pic:cNvPicPr/>
                  </pic:nvPicPr>
                  <pic:blipFill>
                    <a:blip r:embed="rId6">
                      <a:extLst>
                        <a:ext uri="{28A0092B-C50C-407E-A947-70E740481C1C}">
                          <a14:useLocalDpi xmlns:a14="http://schemas.microsoft.com/office/drawing/2010/main" val="0"/>
                        </a:ext>
                      </a:extLst>
                    </a:blip>
                    <a:stretch>
                      <a:fillRect/>
                    </a:stretch>
                  </pic:blipFill>
                  <pic:spPr>
                    <a:xfrm>
                      <a:off x="0" y="0"/>
                      <a:ext cx="2175787" cy="2901048"/>
                    </a:xfrm>
                    <a:prstGeom prst="rect">
                      <a:avLst/>
                    </a:prstGeom>
                  </pic:spPr>
                </pic:pic>
              </a:graphicData>
            </a:graphic>
          </wp:inline>
        </w:drawing>
      </w:r>
      <w:bookmarkStart w:id="0" w:name="_GoBack"/>
      <w:bookmarkEnd w:id="0"/>
    </w:p>
    <w:sectPr w:rsidR="00D3017B" w:rsidSect="0051307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ABA"/>
    <w:rsid w:val="001A3845"/>
    <w:rsid w:val="003608E6"/>
    <w:rsid w:val="00383834"/>
    <w:rsid w:val="00464663"/>
    <w:rsid w:val="0051307D"/>
    <w:rsid w:val="00673ABA"/>
    <w:rsid w:val="009D5F4E"/>
    <w:rsid w:val="00A163DD"/>
    <w:rsid w:val="00C235FD"/>
    <w:rsid w:val="00C26CB9"/>
    <w:rsid w:val="00D301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3C60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3845"/>
    <w:rPr>
      <w:rFonts w:ascii="Lucida Grande" w:hAnsi="Lucida Grande"/>
      <w:sz w:val="18"/>
      <w:szCs w:val="18"/>
    </w:rPr>
  </w:style>
  <w:style w:type="character" w:customStyle="1" w:styleId="BalloonTextChar">
    <w:name w:val="Balloon Text Char"/>
    <w:basedOn w:val="DefaultParagraphFont"/>
    <w:link w:val="BalloonText"/>
    <w:uiPriority w:val="99"/>
    <w:semiHidden/>
    <w:rsid w:val="001A3845"/>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3845"/>
    <w:rPr>
      <w:rFonts w:ascii="Lucida Grande" w:hAnsi="Lucida Grande"/>
      <w:sz w:val="18"/>
      <w:szCs w:val="18"/>
    </w:rPr>
  </w:style>
  <w:style w:type="character" w:customStyle="1" w:styleId="BalloonTextChar">
    <w:name w:val="Balloon Text Char"/>
    <w:basedOn w:val="DefaultParagraphFont"/>
    <w:link w:val="BalloonText"/>
    <w:uiPriority w:val="99"/>
    <w:semiHidden/>
    <w:rsid w:val="001A3845"/>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0982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317</Words>
  <Characters>1808</Characters>
  <Application>Microsoft Macintosh Word</Application>
  <DocSecurity>0</DocSecurity>
  <Lines>15</Lines>
  <Paragraphs>4</Paragraphs>
  <ScaleCrop>false</ScaleCrop>
  <Company>Arrhythmia Consultants</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 Verma</dc:creator>
  <cp:keywords/>
  <dc:description/>
  <cp:lastModifiedBy>Sumit Verma</cp:lastModifiedBy>
  <cp:revision>4</cp:revision>
  <dcterms:created xsi:type="dcterms:W3CDTF">2018-12-31T03:17:00Z</dcterms:created>
  <dcterms:modified xsi:type="dcterms:W3CDTF">2019-01-12T15:17:00Z</dcterms:modified>
</cp:coreProperties>
</file>