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C1FFD" w14:textId="666BE417" w:rsidR="00A6221F" w:rsidRPr="005A3CED" w:rsidRDefault="00F45490" w:rsidP="009F0645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A3CED">
        <w:rPr>
          <w:rFonts w:ascii="Times New Roman" w:hAnsi="Times New Roman" w:cs="Times New Roman"/>
          <w:b/>
          <w:bCs/>
          <w:i/>
          <w:iCs/>
          <w:sz w:val="18"/>
          <w:szCs w:val="18"/>
        </w:rPr>
        <w:t>Abstract:</w:t>
      </w:r>
      <w:r w:rsidRPr="005A3CE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F0645" w:rsidRPr="005A3CED">
        <w:rPr>
          <w:rFonts w:ascii="Times New Roman" w:hAnsi="Times New Roman" w:cs="Times New Roman"/>
          <w:sz w:val="18"/>
          <w:szCs w:val="18"/>
        </w:rPr>
        <w:t xml:space="preserve">A </w:t>
      </w:r>
      <w:r w:rsidR="00D40142" w:rsidRPr="005A3CED">
        <w:rPr>
          <w:rFonts w:ascii="Times New Roman" w:hAnsi="Times New Roman" w:cs="Times New Roman"/>
          <w:sz w:val="18"/>
          <w:szCs w:val="18"/>
        </w:rPr>
        <w:t>q</w:t>
      </w:r>
      <w:r w:rsidR="009F0645" w:rsidRPr="005A3CED">
        <w:rPr>
          <w:rFonts w:ascii="Times New Roman" w:hAnsi="Times New Roman" w:cs="Times New Roman"/>
          <w:sz w:val="18"/>
          <w:szCs w:val="18"/>
        </w:rPr>
        <w:t xml:space="preserve">ualitative </w:t>
      </w:r>
      <w:r w:rsidR="00D40142" w:rsidRPr="005A3CED">
        <w:rPr>
          <w:rFonts w:ascii="Times New Roman" w:hAnsi="Times New Roman" w:cs="Times New Roman"/>
          <w:sz w:val="18"/>
          <w:szCs w:val="18"/>
        </w:rPr>
        <w:t>s</w:t>
      </w:r>
      <w:r w:rsidR="00A6221F" w:rsidRPr="005A3CED">
        <w:rPr>
          <w:rFonts w:ascii="Times New Roman" w:hAnsi="Times New Roman" w:cs="Times New Roman"/>
          <w:sz w:val="18"/>
          <w:szCs w:val="18"/>
        </w:rPr>
        <w:t xml:space="preserve">tudy </w:t>
      </w:r>
      <w:r w:rsidR="00D40142" w:rsidRPr="005A3CED">
        <w:rPr>
          <w:rFonts w:ascii="Times New Roman" w:hAnsi="Times New Roman" w:cs="Times New Roman"/>
          <w:sz w:val="18"/>
          <w:szCs w:val="18"/>
        </w:rPr>
        <w:t>e</w:t>
      </w:r>
      <w:r w:rsidR="00B1516C" w:rsidRPr="005A3CED">
        <w:rPr>
          <w:rFonts w:ascii="Times New Roman" w:hAnsi="Times New Roman" w:cs="Times New Roman"/>
          <w:sz w:val="18"/>
          <w:szCs w:val="18"/>
        </w:rPr>
        <w:t>valuating</w:t>
      </w:r>
      <w:r w:rsidR="00343C9D" w:rsidRPr="005A3CED">
        <w:rPr>
          <w:rFonts w:ascii="Times New Roman" w:hAnsi="Times New Roman" w:cs="Times New Roman"/>
          <w:sz w:val="18"/>
          <w:szCs w:val="18"/>
        </w:rPr>
        <w:t xml:space="preserve"> </w:t>
      </w:r>
      <w:r w:rsidR="00D40142" w:rsidRPr="005A3CED">
        <w:rPr>
          <w:rFonts w:ascii="Times New Roman" w:hAnsi="Times New Roman" w:cs="Times New Roman"/>
          <w:sz w:val="18"/>
          <w:szCs w:val="18"/>
        </w:rPr>
        <w:t>the uses, benefits and problems of teleconsultations</w:t>
      </w:r>
      <w:r w:rsidR="008D1FB5" w:rsidRPr="005A3CED">
        <w:rPr>
          <w:rFonts w:ascii="Times New Roman" w:hAnsi="Times New Roman" w:cs="Times New Roman"/>
          <w:sz w:val="18"/>
          <w:szCs w:val="18"/>
        </w:rPr>
        <w:t xml:space="preserve"> in the</w:t>
      </w:r>
      <w:r w:rsidR="00A6221F" w:rsidRPr="005A3CED">
        <w:rPr>
          <w:rFonts w:ascii="Times New Roman" w:hAnsi="Times New Roman" w:cs="Times New Roman"/>
          <w:sz w:val="18"/>
          <w:szCs w:val="18"/>
        </w:rPr>
        <w:t xml:space="preserve"> </w:t>
      </w:r>
      <w:r w:rsidR="00D40142" w:rsidRPr="005A3CED">
        <w:rPr>
          <w:rFonts w:ascii="Times New Roman" w:hAnsi="Times New Roman" w:cs="Times New Roman"/>
          <w:sz w:val="18"/>
          <w:szCs w:val="18"/>
        </w:rPr>
        <w:t>p</w:t>
      </w:r>
      <w:r w:rsidR="00A6221F" w:rsidRPr="005A3CED">
        <w:rPr>
          <w:rFonts w:ascii="Times New Roman" w:hAnsi="Times New Roman" w:cs="Times New Roman"/>
          <w:sz w:val="18"/>
          <w:szCs w:val="18"/>
        </w:rPr>
        <w:t>re-</w:t>
      </w:r>
      <w:r w:rsidR="00D40142" w:rsidRPr="005A3CED">
        <w:rPr>
          <w:rFonts w:ascii="Times New Roman" w:hAnsi="Times New Roman" w:cs="Times New Roman"/>
          <w:sz w:val="18"/>
          <w:szCs w:val="18"/>
        </w:rPr>
        <w:t>o</w:t>
      </w:r>
      <w:r w:rsidR="00343C9D" w:rsidRPr="005A3CED">
        <w:rPr>
          <w:rFonts w:ascii="Times New Roman" w:hAnsi="Times New Roman" w:cs="Times New Roman"/>
          <w:sz w:val="18"/>
          <w:szCs w:val="18"/>
        </w:rPr>
        <w:t>perative</w:t>
      </w:r>
      <w:r w:rsidR="00A6221F" w:rsidRPr="005A3CED">
        <w:rPr>
          <w:rFonts w:ascii="Times New Roman" w:hAnsi="Times New Roman" w:cs="Times New Roman"/>
          <w:sz w:val="18"/>
          <w:szCs w:val="18"/>
        </w:rPr>
        <w:t xml:space="preserve"> </w:t>
      </w:r>
      <w:r w:rsidR="00D40142" w:rsidRPr="005A3CED">
        <w:rPr>
          <w:rFonts w:ascii="Times New Roman" w:hAnsi="Times New Roman" w:cs="Times New Roman"/>
          <w:sz w:val="18"/>
          <w:szCs w:val="18"/>
        </w:rPr>
        <w:t>p</w:t>
      </w:r>
      <w:r w:rsidR="00A6221F" w:rsidRPr="005A3CED">
        <w:rPr>
          <w:rFonts w:ascii="Times New Roman" w:hAnsi="Times New Roman" w:cs="Times New Roman"/>
          <w:sz w:val="18"/>
          <w:szCs w:val="18"/>
        </w:rPr>
        <w:t xml:space="preserve">athway for </w:t>
      </w:r>
      <w:r w:rsidR="00D40142" w:rsidRPr="005A3CED">
        <w:rPr>
          <w:rFonts w:ascii="Times New Roman" w:hAnsi="Times New Roman" w:cs="Times New Roman"/>
          <w:sz w:val="18"/>
          <w:szCs w:val="18"/>
        </w:rPr>
        <w:t>e</w:t>
      </w:r>
      <w:r w:rsidR="00A6221F" w:rsidRPr="005A3CED">
        <w:rPr>
          <w:rFonts w:ascii="Times New Roman" w:hAnsi="Times New Roman" w:cs="Times New Roman"/>
          <w:sz w:val="18"/>
          <w:szCs w:val="18"/>
        </w:rPr>
        <w:t xml:space="preserve">lective </w:t>
      </w:r>
      <w:r w:rsidR="00D40142" w:rsidRPr="005A3CED">
        <w:rPr>
          <w:rFonts w:ascii="Times New Roman" w:hAnsi="Times New Roman" w:cs="Times New Roman"/>
          <w:sz w:val="18"/>
          <w:szCs w:val="18"/>
        </w:rPr>
        <w:t>orthopaedic surgery</w:t>
      </w:r>
      <w:r w:rsidR="00A6221F" w:rsidRPr="005A3CED">
        <w:rPr>
          <w:rFonts w:ascii="Times New Roman" w:hAnsi="Times New Roman" w:cs="Times New Roman"/>
          <w:sz w:val="18"/>
          <w:szCs w:val="18"/>
        </w:rPr>
        <w:t xml:space="preserve"> at </w:t>
      </w:r>
      <w:r w:rsidR="00343C9D" w:rsidRPr="005A3CED">
        <w:rPr>
          <w:rFonts w:ascii="Times New Roman" w:hAnsi="Times New Roman" w:cs="Times New Roman"/>
          <w:sz w:val="18"/>
          <w:szCs w:val="18"/>
        </w:rPr>
        <w:t>a</w:t>
      </w:r>
      <w:r w:rsidR="009F0645" w:rsidRPr="005A3CED">
        <w:rPr>
          <w:rFonts w:ascii="Times New Roman" w:hAnsi="Times New Roman" w:cs="Times New Roman"/>
          <w:sz w:val="18"/>
          <w:szCs w:val="18"/>
        </w:rPr>
        <w:t xml:space="preserve"> </w:t>
      </w:r>
      <w:r w:rsidR="00D40142" w:rsidRPr="005A3CED">
        <w:rPr>
          <w:rFonts w:ascii="Times New Roman" w:hAnsi="Times New Roman" w:cs="Times New Roman"/>
          <w:sz w:val="18"/>
          <w:szCs w:val="18"/>
        </w:rPr>
        <w:t>m</w:t>
      </w:r>
      <w:r w:rsidR="009F0645" w:rsidRPr="005A3CED">
        <w:rPr>
          <w:rFonts w:ascii="Times New Roman" w:hAnsi="Times New Roman" w:cs="Times New Roman"/>
          <w:sz w:val="18"/>
          <w:szCs w:val="18"/>
        </w:rPr>
        <w:t xml:space="preserve">ajor </w:t>
      </w:r>
      <w:r w:rsidR="00D40142" w:rsidRPr="005A3CED">
        <w:rPr>
          <w:rFonts w:ascii="Times New Roman" w:hAnsi="Times New Roman" w:cs="Times New Roman"/>
          <w:sz w:val="18"/>
          <w:szCs w:val="18"/>
        </w:rPr>
        <w:t>L</w:t>
      </w:r>
      <w:r w:rsidR="009F0645" w:rsidRPr="005A3CED">
        <w:rPr>
          <w:rFonts w:ascii="Times New Roman" w:hAnsi="Times New Roman" w:cs="Times New Roman"/>
          <w:sz w:val="18"/>
          <w:szCs w:val="18"/>
        </w:rPr>
        <w:t xml:space="preserve">ondon </w:t>
      </w:r>
      <w:r w:rsidR="00D40142" w:rsidRPr="005A3CED">
        <w:rPr>
          <w:rFonts w:ascii="Times New Roman" w:hAnsi="Times New Roman" w:cs="Times New Roman"/>
          <w:sz w:val="18"/>
          <w:szCs w:val="18"/>
        </w:rPr>
        <w:t>t</w:t>
      </w:r>
      <w:r w:rsidR="009F0645" w:rsidRPr="005A3CED">
        <w:rPr>
          <w:rFonts w:ascii="Times New Roman" w:hAnsi="Times New Roman" w:cs="Times New Roman"/>
          <w:sz w:val="18"/>
          <w:szCs w:val="18"/>
        </w:rPr>
        <w:t xml:space="preserve">eaching </w:t>
      </w:r>
      <w:r w:rsidR="00D40142" w:rsidRPr="005A3CED">
        <w:rPr>
          <w:rFonts w:ascii="Times New Roman" w:hAnsi="Times New Roman" w:cs="Times New Roman"/>
          <w:sz w:val="18"/>
          <w:szCs w:val="18"/>
        </w:rPr>
        <w:t>h</w:t>
      </w:r>
      <w:r w:rsidR="009F0645" w:rsidRPr="005A3CED">
        <w:rPr>
          <w:rFonts w:ascii="Times New Roman" w:hAnsi="Times New Roman" w:cs="Times New Roman"/>
          <w:sz w:val="18"/>
          <w:szCs w:val="18"/>
        </w:rPr>
        <w:t>ospital</w:t>
      </w:r>
    </w:p>
    <w:p w14:paraId="6AB066D2" w14:textId="0E90637B" w:rsidR="009F0645" w:rsidRPr="005A3CED" w:rsidRDefault="00D40142" w:rsidP="009F0645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  <w:vertAlign w:val="superscript"/>
        </w:rPr>
      </w:pPr>
      <w:r w:rsidRPr="005A3CED">
        <w:rPr>
          <w:rFonts w:ascii="Times New Roman" w:hAnsi="Times New Roman" w:cs="Times New Roman"/>
          <w:sz w:val="18"/>
          <w:szCs w:val="18"/>
          <w:u w:val="single"/>
        </w:rPr>
        <w:t>Iqraa Haq</w:t>
      </w:r>
      <w:r w:rsidRPr="005A3CED">
        <w:rPr>
          <w:rFonts w:ascii="Times New Roman" w:hAnsi="Times New Roman" w:cs="Times New Roman"/>
          <w:sz w:val="18"/>
          <w:szCs w:val="18"/>
          <w:u w:val="single"/>
          <w:vertAlign w:val="superscript"/>
        </w:rPr>
        <w:t>1</w:t>
      </w:r>
      <w:r w:rsidRPr="005A3CED">
        <w:rPr>
          <w:rFonts w:ascii="Times New Roman" w:hAnsi="Times New Roman" w:cs="Times New Roman"/>
          <w:sz w:val="18"/>
          <w:szCs w:val="18"/>
          <w:u w:val="single"/>
        </w:rPr>
        <w:t xml:space="preserve">, </w:t>
      </w:r>
      <w:r w:rsidR="009F0645" w:rsidRPr="005A3CED">
        <w:rPr>
          <w:rFonts w:ascii="Times New Roman" w:hAnsi="Times New Roman" w:cs="Times New Roman"/>
          <w:sz w:val="18"/>
          <w:szCs w:val="18"/>
        </w:rPr>
        <w:t>Rami Abbass</w:t>
      </w:r>
      <w:r w:rsidR="00512B4E" w:rsidRPr="005A3CED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9F0645" w:rsidRPr="005A3CED">
        <w:rPr>
          <w:rFonts w:ascii="Times New Roman" w:hAnsi="Times New Roman" w:cs="Times New Roman"/>
          <w:sz w:val="18"/>
          <w:szCs w:val="18"/>
        </w:rPr>
        <w:t>, Hanad Ahmad</w:t>
      </w:r>
      <w:r w:rsidR="00512B4E" w:rsidRPr="005A3CED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 w:rsidR="009F0645" w:rsidRPr="005A3CED">
        <w:rPr>
          <w:rFonts w:ascii="Times New Roman" w:hAnsi="Times New Roman" w:cs="Times New Roman"/>
          <w:sz w:val="18"/>
          <w:szCs w:val="18"/>
        </w:rPr>
        <w:t>, Shad Asinger</w:t>
      </w:r>
      <w:r w:rsidR="00512B4E" w:rsidRPr="005A3CED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9F0645" w:rsidRPr="005A3CED">
        <w:rPr>
          <w:rFonts w:ascii="Times New Roman" w:hAnsi="Times New Roman" w:cs="Times New Roman"/>
          <w:sz w:val="18"/>
          <w:szCs w:val="18"/>
        </w:rPr>
        <w:t>, Ammar Rahman</w:t>
      </w:r>
      <w:r w:rsidR="00512B4E" w:rsidRPr="005A3CED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ED7513" w:rsidRPr="005A3CED">
        <w:rPr>
          <w:rFonts w:ascii="Times New Roman" w:hAnsi="Times New Roman" w:cs="Times New Roman"/>
          <w:sz w:val="18"/>
          <w:szCs w:val="18"/>
        </w:rPr>
        <w:t>, Faraz Shari</w:t>
      </w:r>
      <w:r w:rsidR="009F0645" w:rsidRPr="005A3CED">
        <w:rPr>
          <w:rFonts w:ascii="Times New Roman" w:hAnsi="Times New Roman" w:cs="Times New Roman"/>
          <w:sz w:val="18"/>
          <w:szCs w:val="18"/>
        </w:rPr>
        <w:t>f</w:t>
      </w:r>
      <w:r w:rsidR="00512B4E" w:rsidRPr="005A3CED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="009F0645" w:rsidRPr="005A3CED">
        <w:rPr>
          <w:rFonts w:ascii="Times New Roman" w:hAnsi="Times New Roman" w:cs="Times New Roman"/>
          <w:sz w:val="18"/>
          <w:szCs w:val="18"/>
        </w:rPr>
        <w:t>, Emma Tonner</w:t>
      </w:r>
      <w:r w:rsidR="00512B4E" w:rsidRPr="005A3CED">
        <w:rPr>
          <w:rFonts w:ascii="Times New Roman" w:hAnsi="Times New Roman" w:cs="Times New Roman"/>
          <w:sz w:val="18"/>
          <w:szCs w:val="18"/>
          <w:vertAlign w:val="superscript"/>
        </w:rPr>
        <w:t>3</w:t>
      </w:r>
    </w:p>
    <w:p w14:paraId="1B02D88D" w14:textId="59333AC3" w:rsidR="00512B4E" w:rsidRPr="005A3CED" w:rsidRDefault="00512B4E" w:rsidP="00512B4E">
      <w:pPr>
        <w:pStyle w:val="Affiliation"/>
        <w:rPr>
          <w:rFonts w:cs="Times New Roman"/>
          <w:sz w:val="18"/>
          <w:szCs w:val="18"/>
        </w:rPr>
      </w:pPr>
      <w:r w:rsidRPr="005A3CED">
        <w:rPr>
          <w:rFonts w:cs="Times New Roman"/>
          <w:sz w:val="18"/>
          <w:szCs w:val="18"/>
          <w:vertAlign w:val="superscript"/>
        </w:rPr>
        <w:t>1</w:t>
      </w:r>
      <w:r w:rsidRPr="005A3CED">
        <w:rPr>
          <w:rFonts w:cs="Times New Roman"/>
          <w:sz w:val="18"/>
          <w:szCs w:val="18"/>
        </w:rPr>
        <w:t xml:space="preserve"> Imperial College London, London, United Kingdom </w:t>
      </w:r>
    </w:p>
    <w:p w14:paraId="724424B5" w14:textId="6C495B89" w:rsidR="00512B4E" w:rsidRPr="005A3CED" w:rsidRDefault="00512B4E" w:rsidP="00512B4E">
      <w:pPr>
        <w:pStyle w:val="Affiliation"/>
        <w:rPr>
          <w:rFonts w:cs="Times New Roman"/>
          <w:sz w:val="18"/>
          <w:szCs w:val="18"/>
        </w:rPr>
      </w:pPr>
      <w:r w:rsidRPr="005A3CED">
        <w:rPr>
          <w:rFonts w:cs="Times New Roman"/>
          <w:sz w:val="18"/>
          <w:szCs w:val="18"/>
          <w:vertAlign w:val="superscript"/>
        </w:rPr>
        <w:t xml:space="preserve">2 </w:t>
      </w:r>
      <w:r w:rsidRPr="005A3CED">
        <w:rPr>
          <w:rFonts w:cs="Times New Roman"/>
          <w:sz w:val="18"/>
          <w:szCs w:val="18"/>
        </w:rPr>
        <w:t>University of Southampton, Southampton, United Kingdom</w:t>
      </w:r>
    </w:p>
    <w:p w14:paraId="5984D49D" w14:textId="6E163E49" w:rsidR="00512B4E" w:rsidRPr="005A3CED" w:rsidRDefault="00512B4E" w:rsidP="00512B4E">
      <w:pPr>
        <w:pStyle w:val="Affiliation"/>
        <w:rPr>
          <w:rFonts w:cs="Times New Roman"/>
          <w:sz w:val="18"/>
          <w:szCs w:val="18"/>
        </w:rPr>
      </w:pPr>
      <w:r w:rsidRPr="005A3CED">
        <w:rPr>
          <w:rFonts w:cs="Times New Roman"/>
          <w:sz w:val="18"/>
          <w:szCs w:val="18"/>
          <w:vertAlign w:val="superscript"/>
        </w:rPr>
        <w:t xml:space="preserve">3 </w:t>
      </w:r>
      <w:r w:rsidRPr="005A3CED">
        <w:rPr>
          <w:rFonts w:cs="Times New Roman"/>
          <w:sz w:val="18"/>
          <w:szCs w:val="18"/>
        </w:rPr>
        <w:t>University of Leeds, Leeds, United Kingdom</w:t>
      </w:r>
    </w:p>
    <w:p w14:paraId="13F9CAA0" w14:textId="77777777" w:rsidR="00512B4E" w:rsidRPr="005A3CED" w:rsidRDefault="00512B4E" w:rsidP="009F0645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E240493" w14:textId="77777777" w:rsidR="00A6221F" w:rsidRPr="005A3CED" w:rsidRDefault="00A6221F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A3CED">
        <w:rPr>
          <w:rFonts w:ascii="Times New Roman" w:hAnsi="Times New Roman" w:cs="Times New Roman"/>
          <w:sz w:val="18"/>
          <w:szCs w:val="18"/>
        </w:rPr>
        <w:t>Introduction</w:t>
      </w:r>
    </w:p>
    <w:p w14:paraId="02C24779" w14:textId="6A63654D" w:rsidR="00A6221F" w:rsidRPr="005A3CED" w:rsidRDefault="005A3CED" w:rsidP="005A3CED">
      <w:pPr>
        <w:pStyle w:val="NormalWeb"/>
        <w:rPr>
          <w:sz w:val="18"/>
          <w:szCs w:val="18"/>
        </w:rPr>
      </w:pPr>
      <w:r w:rsidRPr="005A3CED">
        <w:rPr>
          <w:sz w:val="18"/>
          <w:szCs w:val="18"/>
        </w:rPr>
        <w:t>As outlined by the NHS Five Year F</w:t>
      </w:r>
      <w:bookmarkStart w:id="0" w:name="_GoBack"/>
      <w:bookmarkEnd w:id="0"/>
      <w:r w:rsidRPr="005A3CED">
        <w:rPr>
          <w:sz w:val="18"/>
          <w:szCs w:val="18"/>
        </w:rPr>
        <w:t xml:space="preserve">orward View, rapid advancements in technology mean it is becoming a prodigious tool in healthcare management. It </w:t>
      </w:r>
      <w:r w:rsidRPr="005A3CED">
        <w:rPr>
          <w:sz w:val="18"/>
          <w:szCs w:val="18"/>
        </w:rPr>
        <w:t>endeavours</w:t>
      </w:r>
      <w:r w:rsidRPr="005A3CED">
        <w:rPr>
          <w:sz w:val="18"/>
          <w:szCs w:val="18"/>
        </w:rPr>
        <w:t xml:space="preserve"> to support efforts for more effective demand and more personalized, user-centred care.</w:t>
      </w:r>
      <w:r w:rsidRPr="005A3CED">
        <w:rPr>
          <w:sz w:val="18"/>
          <w:szCs w:val="18"/>
        </w:rPr>
        <w:t xml:space="preserve"> </w:t>
      </w:r>
      <w:r w:rsidRPr="005A3CED">
        <w:rPr>
          <w:sz w:val="18"/>
          <w:szCs w:val="18"/>
        </w:rPr>
        <w:t xml:space="preserve">One such example is </w:t>
      </w:r>
      <w:r w:rsidRPr="005A3CED">
        <w:rPr>
          <w:sz w:val="18"/>
          <w:szCs w:val="18"/>
        </w:rPr>
        <w:t>tele-consultations, c</w:t>
      </w:r>
      <w:r w:rsidRPr="005A3CED">
        <w:rPr>
          <w:sz w:val="18"/>
          <w:szCs w:val="18"/>
        </w:rPr>
        <w:t>linical consultation</w:t>
      </w:r>
      <w:r w:rsidRPr="005A3CED">
        <w:rPr>
          <w:sz w:val="18"/>
          <w:szCs w:val="18"/>
        </w:rPr>
        <w:t>s</w:t>
      </w:r>
      <w:r w:rsidRPr="005A3CED">
        <w:rPr>
          <w:sz w:val="18"/>
          <w:szCs w:val="18"/>
        </w:rPr>
        <w:t xml:space="preserve"> conducted remotely using information and communication technology such as telephones or videos</w:t>
      </w:r>
      <w:r w:rsidRPr="005A3CED">
        <w:rPr>
          <w:sz w:val="18"/>
          <w:szCs w:val="18"/>
        </w:rPr>
        <w:t xml:space="preserve">, </w:t>
      </w:r>
      <w:r w:rsidRPr="005A3CED">
        <w:rPr>
          <w:sz w:val="18"/>
          <w:szCs w:val="18"/>
        </w:rPr>
        <w:t xml:space="preserve">can increase patient satisfaction, reduce costs and improve treatment adherence. </w:t>
      </w:r>
      <w:r w:rsidR="00D40142" w:rsidRPr="005A3CED">
        <w:rPr>
          <w:sz w:val="18"/>
          <w:szCs w:val="18"/>
        </w:rPr>
        <w:t xml:space="preserve">However, there is slow adoption of such technology in the wider NHS and lack of literature supporting its use, particularly within the pre-operative surgical pathway for elective hip and knee surgeries, where communication between patient and healthcare practitioner, patient education and planning is vital to post-surgical outcomes. </w:t>
      </w:r>
      <w:r w:rsidR="00A6221F" w:rsidRPr="005A3CED">
        <w:rPr>
          <w:sz w:val="18"/>
          <w:szCs w:val="18"/>
        </w:rPr>
        <w:t>Th</w:t>
      </w:r>
      <w:r w:rsidR="00D40142" w:rsidRPr="005A3CED">
        <w:rPr>
          <w:sz w:val="18"/>
          <w:szCs w:val="18"/>
        </w:rPr>
        <w:t xml:space="preserve">erefore, this </w:t>
      </w:r>
      <w:r w:rsidR="00343C9D" w:rsidRPr="005A3CED">
        <w:rPr>
          <w:sz w:val="18"/>
          <w:szCs w:val="18"/>
        </w:rPr>
        <w:t>study aime</w:t>
      </w:r>
      <w:r w:rsidR="00D40142" w:rsidRPr="005A3CED">
        <w:rPr>
          <w:sz w:val="18"/>
          <w:szCs w:val="18"/>
        </w:rPr>
        <w:t>d to evaluate the uses, benefits and problems</w:t>
      </w:r>
      <w:r w:rsidR="008D1FB5" w:rsidRPr="005A3CED">
        <w:rPr>
          <w:sz w:val="18"/>
          <w:szCs w:val="18"/>
        </w:rPr>
        <w:t xml:space="preserve"> of </w:t>
      </w:r>
      <w:r w:rsidR="00D40142" w:rsidRPr="005A3CED">
        <w:rPr>
          <w:sz w:val="18"/>
          <w:szCs w:val="18"/>
        </w:rPr>
        <w:t xml:space="preserve">teleconsultations </w:t>
      </w:r>
      <w:r w:rsidR="00A6221F" w:rsidRPr="005A3CED">
        <w:rPr>
          <w:sz w:val="18"/>
          <w:szCs w:val="18"/>
        </w:rPr>
        <w:t>in the pre-operative pathway for elective hip and knee arthroplasty, at Imperial College Healthcare NHS Trust, from the perspective of</w:t>
      </w:r>
      <w:r w:rsidR="00B1516C" w:rsidRPr="005A3CED">
        <w:rPr>
          <w:sz w:val="18"/>
          <w:szCs w:val="18"/>
        </w:rPr>
        <w:t xml:space="preserve"> key</w:t>
      </w:r>
      <w:r w:rsidR="00343C9D" w:rsidRPr="005A3CED">
        <w:rPr>
          <w:sz w:val="18"/>
          <w:szCs w:val="18"/>
        </w:rPr>
        <w:t xml:space="preserve"> clinical </w:t>
      </w:r>
      <w:r w:rsidR="00B1516C" w:rsidRPr="005A3CED">
        <w:rPr>
          <w:sz w:val="18"/>
          <w:szCs w:val="18"/>
        </w:rPr>
        <w:t>stakeholders.</w:t>
      </w:r>
    </w:p>
    <w:p w14:paraId="10410995" w14:textId="77777777" w:rsidR="00C11C6C" w:rsidRPr="005A3CED" w:rsidRDefault="00C11C6C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23CABBF" w14:textId="2720C495" w:rsidR="00A6221F" w:rsidRPr="005A3CED" w:rsidRDefault="00A6221F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A3CED">
        <w:rPr>
          <w:rFonts w:ascii="Times New Roman" w:hAnsi="Times New Roman" w:cs="Times New Roman"/>
          <w:sz w:val="18"/>
          <w:szCs w:val="18"/>
        </w:rPr>
        <w:t>Method</w:t>
      </w:r>
      <w:r w:rsidR="006D69E4" w:rsidRPr="005A3CED">
        <w:rPr>
          <w:rFonts w:ascii="Times New Roman" w:hAnsi="Times New Roman" w:cs="Times New Roman"/>
          <w:sz w:val="18"/>
          <w:szCs w:val="18"/>
        </w:rPr>
        <w:t>s</w:t>
      </w:r>
    </w:p>
    <w:p w14:paraId="2A19596B" w14:textId="77777777" w:rsidR="00C11C6C" w:rsidRPr="005A3CED" w:rsidRDefault="00C11C6C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7E47727" w14:textId="73CBD1C5" w:rsidR="00D40142" w:rsidRPr="005A3CED" w:rsidRDefault="00B1516C" w:rsidP="00B921AB">
      <w:pPr>
        <w:pStyle w:val="BodyText"/>
        <w:spacing w:before="90" w:line="276" w:lineRule="auto"/>
        <w:jc w:val="both"/>
        <w:rPr>
          <w:rFonts w:ascii="Times New Roman" w:eastAsiaTheme="minorHAnsi" w:hAnsi="Times New Roman" w:cs="Times New Roman"/>
          <w:lang w:val="en-GB"/>
        </w:rPr>
      </w:pPr>
      <w:r w:rsidRPr="005A3CED">
        <w:rPr>
          <w:rFonts w:ascii="Times New Roman" w:eastAsiaTheme="minorHAnsi" w:hAnsi="Times New Roman" w:cs="Times New Roman"/>
          <w:lang w:val="en-GB"/>
        </w:rPr>
        <w:t>16 Semi Structured I</w:t>
      </w:r>
      <w:r w:rsidR="00A6221F" w:rsidRPr="005A3CED">
        <w:rPr>
          <w:rFonts w:ascii="Times New Roman" w:eastAsiaTheme="minorHAnsi" w:hAnsi="Times New Roman" w:cs="Times New Roman"/>
          <w:lang w:val="en-GB"/>
        </w:rPr>
        <w:t>nterviews were conducted with H</w:t>
      </w:r>
      <w:r w:rsidRPr="005A3CED">
        <w:rPr>
          <w:rFonts w:ascii="Times New Roman" w:eastAsiaTheme="minorHAnsi" w:hAnsi="Times New Roman" w:cs="Times New Roman"/>
          <w:lang w:val="en-GB"/>
        </w:rPr>
        <w:t>ealthcare professionals (H</w:t>
      </w:r>
      <w:r w:rsidR="00A6221F" w:rsidRPr="005A3CED">
        <w:rPr>
          <w:rFonts w:ascii="Times New Roman" w:eastAsiaTheme="minorHAnsi" w:hAnsi="Times New Roman" w:cs="Times New Roman"/>
          <w:lang w:val="en-GB"/>
        </w:rPr>
        <w:t>CPs</w:t>
      </w:r>
      <w:r w:rsidRPr="005A3CED">
        <w:rPr>
          <w:rFonts w:ascii="Times New Roman" w:eastAsiaTheme="minorHAnsi" w:hAnsi="Times New Roman" w:cs="Times New Roman"/>
          <w:lang w:val="en-GB"/>
        </w:rPr>
        <w:t>)</w:t>
      </w:r>
      <w:r w:rsidR="00A6221F" w:rsidRPr="005A3CED">
        <w:rPr>
          <w:rFonts w:ascii="Times New Roman" w:eastAsiaTheme="minorHAnsi" w:hAnsi="Times New Roman" w:cs="Times New Roman"/>
          <w:lang w:val="en-GB"/>
        </w:rPr>
        <w:t xml:space="preserve"> along the preoperative pathway</w:t>
      </w:r>
      <w:r w:rsidR="00D40142" w:rsidRPr="005A3CED">
        <w:rPr>
          <w:rFonts w:ascii="Times New Roman" w:eastAsiaTheme="minorHAnsi" w:hAnsi="Times New Roman" w:cs="Times New Roman"/>
          <w:lang w:val="en-GB"/>
        </w:rPr>
        <w:t>, until data saturation was reached before conducting a thematic analysis.</w:t>
      </w:r>
      <w:r w:rsidR="00A6221F" w:rsidRPr="005A3CED">
        <w:rPr>
          <w:rFonts w:ascii="Times New Roman" w:eastAsiaTheme="minorHAnsi" w:hAnsi="Times New Roman" w:cs="Times New Roman"/>
          <w:lang w:val="en-GB"/>
        </w:rPr>
        <w:t xml:space="preserve"> </w:t>
      </w:r>
      <w:r w:rsidR="00D40142" w:rsidRPr="005A3CED">
        <w:rPr>
          <w:rFonts w:ascii="Times New Roman" w:eastAsiaTheme="minorHAnsi" w:hAnsi="Times New Roman" w:cs="Times New Roman"/>
          <w:lang w:val="en-GB"/>
        </w:rPr>
        <w:t>HCPs</w:t>
      </w:r>
      <w:r w:rsidR="00343C9D" w:rsidRPr="005A3CED">
        <w:rPr>
          <w:rFonts w:ascii="Times New Roman" w:eastAsiaTheme="minorHAnsi" w:hAnsi="Times New Roman" w:cs="Times New Roman"/>
          <w:lang w:val="en-GB"/>
        </w:rPr>
        <w:t xml:space="preserve"> included</w:t>
      </w:r>
      <w:r w:rsidR="00A6221F" w:rsidRPr="005A3CED">
        <w:rPr>
          <w:rFonts w:ascii="Times New Roman" w:eastAsiaTheme="minorHAnsi" w:hAnsi="Times New Roman" w:cs="Times New Roman"/>
          <w:lang w:val="en-GB"/>
        </w:rPr>
        <w:t xml:space="preserve"> GPs, Orthopaedic Surgeons, Nurses, Anaesthetists, Orthogeriatricians, Occupational Therapists and Physiotherapists.</w:t>
      </w:r>
    </w:p>
    <w:p w14:paraId="61C41FC7" w14:textId="77777777" w:rsidR="00D40142" w:rsidRPr="005A3CED" w:rsidRDefault="00D40142" w:rsidP="00B921AB">
      <w:pPr>
        <w:pStyle w:val="BodyText"/>
        <w:spacing w:before="90" w:line="276" w:lineRule="auto"/>
        <w:jc w:val="both"/>
        <w:rPr>
          <w:rFonts w:ascii="Times New Roman" w:eastAsiaTheme="minorHAnsi" w:hAnsi="Times New Roman" w:cs="Times New Roman"/>
          <w:lang w:val="en-GB"/>
        </w:rPr>
      </w:pPr>
      <w:r w:rsidRPr="005A3CED">
        <w:rPr>
          <w:rFonts w:ascii="Times New Roman" w:eastAsiaTheme="minorHAnsi" w:hAnsi="Times New Roman" w:cs="Times New Roman"/>
          <w:lang w:val="en-GB"/>
        </w:rPr>
        <w:t xml:space="preserve">Ethical approval was received from Imperial College Research Ethics Committee on 05/02/2019. </w:t>
      </w:r>
    </w:p>
    <w:p w14:paraId="38E91B2B" w14:textId="77777777" w:rsidR="00D40142" w:rsidRPr="005A3CED" w:rsidRDefault="00D40142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333A0385" w14:textId="404ACDB2" w:rsidR="00A6221F" w:rsidRPr="005A3CED" w:rsidRDefault="00A6221F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A3CED">
        <w:rPr>
          <w:rFonts w:ascii="Times New Roman" w:hAnsi="Times New Roman" w:cs="Times New Roman"/>
          <w:sz w:val="18"/>
          <w:szCs w:val="18"/>
        </w:rPr>
        <w:t>Results</w:t>
      </w:r>
      <w:r w:rsidR="00D40142" w:rsidRPr="005A3CED">
        <w:rPr>
          <w:rFonts w:ascii="Times New Roman" w:hAnsi="Times New Roman" w:cs="Times New Roman"/>
          <w:sz w:val="18"/>
          <w:szCs w:val="18"/>
        </w:rPr>
        <w:t xml:space="preserve"> and Conclusion</w:t>
      </w:r>
    </w:p>
    <w:p w14:paraId="68EDDCE0" w14:textId="77777777" w:rsidR="00C11C6C" w:rsidRPr="005A3CED" w:rsidRDefault="00C11C6C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1D0FF779" w14:textId="2B2D0D2F" w:rsidR="00A6221F" w:rsidRPr="005A3CED" w:rsidRDefault="00B1516C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A3CED">
        <w:rPr>
          <w:rFonts w:ascii="Times New Roman" w:hAnsi="Times New Roman" w:cs="Times New Roman"/>
          <w:sz w:val="18"/>
          <w:szCs w:val="18"/>
        </w:rPr>
        <w:t>HCPs</w:t>
      </w:r>
      <w:r w:rsidR="00A6221F" w:rsidRPr="005A3CED">
        <w:rPr>
          <w:rFonts w:ascii="Times New Roman" w:hAnsi="Times New Roman" w:cs="Times New Roman"/>
          <w:sz w:val="18"/>
          <w:szCs w:val="18"/>
        </w:rPr>
        <w:t xml:space="preserve"> </w:t>
      </w:r>
      <w:r w:rsidR="00D40142" w:rsidRPr="005A3CED">
        <w:rPr>
          <w:rFonts w:ascii="Times New Roman" w:hAnsi="Times New Roman" w:cs="Times New Roman"/>
          <w:sz w:val="18"/>
          <w:szCs w:val="18"/>
        </w:rPr>
        <w:t xml:space="preserve">suggested use-cases to conduct teleconsultations for pre-assessment consultations with lower risk patients, information delivery, physiotherapy, occupational therapy pre-assessment with benefits cited as reduced overall costs and time incurred to patient and HCP, increased workflow efficiency </w:t>
      </w:r>
      <w:r w:rsidR="00B921AB" w:rsidRPr="005A3CED">
        <w:rPr>
          <w:rFonts w:ascii="Times New Roman" w:hAnsi="Times New Roman" w:cs="Times New Roman"/>
          <w:sz w:val="18"/>
          <w:szCs w:val="18"/>
        </w:rPr>
        <w:t xml:space="preserve">with problems noted to be lack of accessibility due to technological difficulties, lack of holistic examination of patient, loss of ‘human touch’ and digital illiteracy. </w:t>
      </w:r>
    </w:p>
    <w:p w14:paraId="031E1258" w14:textId="77777777" w:rsidR="00C11C6C" w:rsidRPr="005A3CED" w:rsidRDefault="00C11C6C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7A017EA" w14:textId="20744C68" w:rsidR="008D1FB5" w:rsidRPr="005A3CED" w:rsidRDefault="00B921AB" w:rsidP="00B921AB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5A3CED">
        <w:rPr>
          <w:rFonts w:ascii="Times New Roman" w:hAnsi="Times New Roman" w:cs="Times New Roman"/>
          <w:sz w:val="18"/>
          <w:szCs w:val="18"/>
        </w:rPr>
        <w:t xml:space="preserve">Although this study has provided </w:t>
      </w:r>
      <w:r w:rsidR="00B1324F" w:rsidRPr="005A3CED">
        <w:rPr>
          <w:rFonts w:ascii="Times New Roman" w:hAnsi="Times New Roman" w:cs="Times New Roman"/>
          <w:sz w:val="18"/>
          <w:szCs w:val="18"/>
        </w:rPr>
        <w:t xml:space="preserve">a </w:t>
      </w:r>
      <w:r w:rsidRPr="005A3CED">
        <w:rPr>
          <w:rFonts w:ascii="Times New Roman" w:hAnsi="Times New Roman" w:cs="Times New Roman"/>
          <w:sz w:val="18"/>
          <w:szCs w:val="18"/>
        </w:rPr>
        <w:t>greater</w:t>
      </w:r>
      <w:r w:rsidR="00B1324F" w:rsidRPr="005A3CED">
        <w:rPr>
          <w:rFonts w:ascii="Times New Roman" w:hAnsi="Times New Roman" w:cs="Times New Roman"/>
          <w:sz w:val="18"/>
          <w:szCs w:val="18"/>
        </w:rPr>
        <w:t xml:space="preserve"> analysis of </w:t>
      </w:r>
      <w:r w:rsidRPr="005A3CED">
        <w:rPr>
          <w:rFonts w:ascii="Times New Roman" w:hAnsi="Times New Roman" w:cs="Times New Roman"/>
          <w:sz w:val="18"/>
          <w:szCs w:val="18"/>
        </w:rPr>
        <w:t>the potential use-cases of teleconsultations within</w:t>
      </w:r>
      <w:r w:rsidR="00B1324F" w:rsidRPr="005A3CED">
        <w:rPr>
          <w:rFonts w:ascii="Times New Roman" w:hAnsi="Times New Roman" w:cs="Times New Roman"/>
          <w:sz w:val="18"/>
          <w:szCs w:val="18"/>
        </w:rPr>
        <w:t xml:space="preserve"> the pre-operative pathway</w:t>
      </w:r>
      <w:r w:rsidRPr="005A3CED">
        <w:rPr>
          <w:rFonts w:ascii="Times New Roman" w:hAnsi="Times New Roman" w:cs="Times New Roman"/>
          <w:sz w:val="18"/>
          <w:szCs w:val="18"/>
        </w:rPr>
        <w:t xml:space="preserve">, future studies should be conducted in other NHS trusts to identify greater uses within the entire surgical pathway. </w:t>
      </w:r>
    </w:p>
    <w:p w14:paraId="53C25B5A" w14:textId="77777777" w:rsidR="00A6221F" w:rsidRPr="005A3CED" w:rsidRDefault="00A6221F" w:rsidP="00B921AB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A6221F" w:rsidRPr="005A3CED" w:rsidSect="00F4549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21F"/>
    <w:rsid w:val="000C2737"/>
    <w:rsid w:val="001C45A5"/>
    <w:rsid w:val="002E6001"/>
    <w:rsid w:val="00343C9D"/>
    <w:rsid w:val="00512A04"/>
    <w:rsid w:val="00512B4E"/>
    <w:rsid w:val="005A3CED"/>
    <w:rsid w:val="005C57BB"/>
    <w:rsid w:val="006B43A8"/>
    <w:rsid w:val="006D69E4"/>
    <w:rsid w:val="008D1FB5"/>
    <w:rsid w:val="009C5F7E"/>
    <w:rsid w:val="009F0645"/>
    <w:rsid w:val="009F4DA3"/>
    <w:rsid w:val="00A6221F"/>
    <w:rsid w:val="00B1324F"/>
    <w:rsid w:val="00B1516C"/>
    <w:rsid w:val="00B921AB"/>
    <w:rsid w:val="00C11C6C"/>
    <w:rsid w:val="00D00BCF"/>
    <w:rsid w:val="00D40142"/>
    <w:rsid w:val="00ED7513"/>
    <w:rsid w:val="00F4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BF58B"/>
  <w15:chartTrackingRefBased/>
  <w15:docId w15:val="{B1177D27-AF48-4C5A-9462-FED5A9CF4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2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512B4E"/>
    <w:pPr>
      <w:spacing w:after="0" w:line="240" w:lineRule="auto"/>
      <w:jc w:val="center"/>
    </w:pPr>
    <w:rPr>
      <w:rFonts w:ascii="Times New Roman" w:eastAsia="Times New Roman" w:hAnsi="Times New Roman" w:cs="Arial"/>
      <w:i/>
      <w:i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4014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D40142"/>
    <w:rPr>
      <w:rFonts w:ascii="Tw Cen MT" w:eastAsia="Tw Cen MT" w:hAnsi="Tw Cen MT" w:cs="Tw Cen MT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5A3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09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50880-30C5-8142-9C47-87F48BBA0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 Abbass</dc:creator>
  <cp:keywords/>
  <dc:description/>
  <cp:lastModifiedBy>Ikram-Ul haq</cp:lastModifiedBy>
  <cp:revision>4</cp:revision>
  <dcterms:created xsi:type="dcterms:W3CDTF">2020-01-10T20:04:00Z</dcterms:created>
  <dcterms:modified xsi:type="dcterms:W3CDTF">2020-01-10T20:26:00Z</dcterms:modified>
</cp:coreProperties>
</file>