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D6B" w:rsidRDefault="00040D6B" w:rsidP="00040D6B">
      <w:pPr>
        <w:jc w:val="right"/>
        <w:rPr>
          <w:rFonts w:eastAsia="MS PGothic"/>
          <w:sz w:val="28"/>
          <w:szCs w:val="28"/>
          <w:lang w:val="en-US"/>
        </w:rPr>
      </w:pPr>
      <w:bookmarkStart w:id="0" w:name="_GoBack"/>
      <w:bookmarkEnd w:id="0"/>
      <w:r w:rsidRPr="00040D6B">
        <w:rPr>
          <w:noProof/>
          <w:sz w:val="22"/>
          <w:szCs w:val="22"/>
          <w:lang w:val="ru-RU" w:eastAsia="ru-RU"/>
        </w:rPr>
        <w:drawing>
          <wp:inline distT="0" distB="0" distL="0" distR="0">
            <wp:extent cx="812165" cy="1134110"/>
            <wp:effectExtent l="0" t="0" r="0" b="0"/>
            <wp:docPr id="3" name="Рисунок 2" descr="C:\Users\user\Desktop\chemistry-2018-tofik-nagiev-742519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user\Desktop\chemistry-2018-tofik-nagiev-74251971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165" cy="1134110"/>
                    </a:xfrm>
                    <a:prstGeom prst="rect">
                      <a:avLst/>
                    </a:prstGeom>
                    <a:noFill/>
                    <a:ln>
                      <a:noFill/>
                    </a:ln>
                  </pic:spPr>
                </pic:pic>
              </a:graphicData>
            </a:graphic>
          </wp:inline>
        </w:drawing>
      </w:r>
    </w:p>
    <w:p w:rsidR="00040D6B" w:rsidRDefault="00040D6B" w:rsidP="00E72E5B">
      <w:pPr>
        <w:jc w:val="center"/>
        <w:rPr>
          <w:rFonts w:eastAsia="MS PGothic"/>
          <w:sz w:val="28"/>
          <w:szCs w:val="28"/>
          <w:lang w:val="en-US"/>
        </w:rPr>
      </w:pPr>
    </w:p>
    <w:p w:rsidR="001C44B5" w:rsidRPr="00040D6B" w:rsidRDefault="008D74EC" w:rsidP="00040D6B">
      <w:pPr>
        <w:rPr>
          <w:b/>
          <w:vertAlign w:val="superscript"/>
          <w:lang w:val="en-US" w:eastAsia="ru-RU"/>
        </w:rPr>
      </w:pPr>
      <w:r w:rsidRPr="00040D6B">
        <w:rPr>
          <w:rFonts w:eastAsia="MS PGothic"/>
          <w:b/>
          <w:sz w:val="28"/>
          <w:szCs w:val="28"/>
          <w:lang w:val="en-US"/>
        </w:rPr>
        <w:t xml:space="preserve">Kinetics of coherently synchronized peroxidase reaction of ethyl alcohol </w:t>
      </w:r>
      <w:r w:rsidR="00E72E5B" w:rsidRPr="00040D6B">
        <w:rPr>
          <w:rFonts w:eastAsia="MS PGothic"/>
          <w:b/>
          <w:sz w:val="28"/>
          <w:szCs w:val="28"/>
          <w:lang w:val="en-US"/>
        </w:rPr>
        <w:t>by</w:t>
      </w:r>
      <w:r w:rsidRPr="00040D6B">
        <w:rPr>
          <w:rFonts w:eastAsia="MS PGothic"/>
          <w:b/>
          <w:sz w:val="28"/>
          <w:szCs w:val="28"/>
          <w:lang w:val="en-US"/>
        </w:rPr>
        <w:t xml:space="preserve"> a green oxidizing agent - hydrogen peroxide</w:t>
      </w:r>
      <w:r w:rsidR="00AC3BCD" w:rsidRPr="00040D6B">
        <w:rPr>
          <w:rFonts w:eastAsia="MS PGothic" w:hAnsi="Arial"/>
          <w:b/>
        </w:rPr>
        <w:br/>
      </w:r>
    </w:p>
    <w:p w:rsidR="00040D6B" w:rsidRDefault="00040D6B" w:rsidP="00040D6B">
      <w:pPr>
        <w:rPr>
          <w:rFonts w:eastAsia="MS PGothic"/>
          <w:lang w:val="en-US"/>
        </w:rPr>
      </w:pPr>
      <w:r>
        <w:rPr>
          <w:rFonts w:eastAsia="MS PGothic"/>
          <w:lang w:val="en-US"/>
        </w:rPr>
        <w:t>S.Aghamammadova</w:t>
      </w:r>
      <w:r w:rsidRPr="00040D6B">
        <w:rPr>
          <w:rFonts w:eastAsia="MS PGothic"/>
          <w:vertAlign w:val="superscript"/>
          <w:lang w:val="en-US"/>
        </w:rPr>
        <w:t>1</w:t>
      </w:r>
      <w:r>
        <w:rPr>
          <w:rFonts w:eastAsia="MS PGothic"/>
          <w:lang w:val="en-US"/>
        </w:rPr>
        <w:t>, U.</w:t>
      </w:r>
      <w:r w:rsidRPr="00221B64">
        <w:rPr>
          <w:rFonts w:eastAsia="MS PGothic"/>
          <w:lang w:val="en-US"/>
        </w:rPr>
        <w:t>Nasirova</w:t>
      </w:r>
      <w:r w:rsidRPr="00040D6B">
        <w:rPr>
          <w:rFonts w:eastAsia="MS PGothic"/>
          <w:vertAlign w:val="superscript"/>
          <w:lang w:val="en-US"/>
        </w:rPr>
        <w:t>1</w:t>
      </w:r>
      <w:r>
        <w:rPr>
          <w:rFonts w:eastAsia="MS PGothic"/>
          <w:lang w:val="en-US"/>
        </w:rPr>
        <w:t>,</w:t>
      </w:r>
      <w:r w:rsidRPr="00221B64">
        <w:rPr>
          <w:rFonts w:eastAsia="MS PGothic"/>
          <w:lang w:val="en-US"/>
        </w:rPr>
        <w:t xml:space="preserve"> </w:t>
      </w:r>
      <w:r>
        <w:rPr>
          <w:rFonts w:eastAsia="MS PGothic"/>
          <w:lang w:val="en-US"/>
        </w:rPr>
        <w:t>I.</w:t>
      </w:r>
      <w:r w:rsidRPr="00221B64">
        <w:rPr>
          <w:rFonts w:eastAsia="MS PGothic"/>
          <w:lang w:val="en-US"/>
        </w:rPr>
        <w:t>Nagieva</w:t>
      </w:r>
      <w:r>
        <w:rPr>
          <w:rFonts w:eastAsia="MS PGothic"/>
          <w:vertAlign w:val="superscript"/>
          <w:lang w:val="en-US"/>
        </w:rPr>
        <w:t>2</w:t>
      </w:r>
      <w:r w:rsidRPr="00221B64">
        <w:rPr>
          <w:rFonts w:eastAsia="MS PGothic"/>
          <w:lang w:val="en-US"/>
        </w:rPr>
        <w:t>,</w:t>
      </w:r>
      <w:r>
        <w:rPr>
          <w:rFonts w:eastAsia="MS PGothic"/>
          <w:lang w:val="en-US"/>
        </w:rPr>
        <w:t xml:space="preserve"> L.</w:t>
      </w:r>
      <w:r w:rsidRPr="00221B64">
        <w:rPr>
          <w:rFonts w:eastAsia="MS PGothic"/>
          <w:lang w:val="en-US"/>
        </w:rPr>
        <w:t>Gasanova</w:t>
      </w:r>
      <w:r w:rsidRPr="00040D6B">
        <w:rPr>
          <w:rFonts w:eastAsia="MS PGothic"/>
          <w:vertAlign w:val="superscript"/>
          <w:lang w:val="en-US"/>
        </w:rPr>
        <w:t>1</w:t>
      </w:r>
      <w:r w:rsidRPr="00221B64">
        <w:rPr>
          <w:rFonts w:eastAsia="MS PGothic"/>
          <w:lang w:val="en-US"/>
        </w:rPr>
        <w:t>,</w:t>
      </w:r>
      <w:r>
        <w:rPr>
          <w:rFonts w:eastAsia="MS PGothic"/>
          <w:lang w:val="en-US"/>
        </w:rPr>
        <w:t xml:space="preserve"> T.</w:t>
      </w:r>
      <w:r w:rsidRPr="00221B64">
        <w:rPr>
          <w:rFonts w:eastAsia="MS PGothic"/>
          <w:lang w:val="en-US"/>
        </w:rPr>
        <w:t>Nagiev</w:t>
      </w:r>
      <w:r w:rsidRPr="00040D6B">
        <w:rPr>
          <w:rFonts w:eastAsia="MS PGothic"/>
          <w:vertAlign w:val="superscript"/>
          <w:lang w:val="en-US"/>
        </w:rPr>
        <w:t>1</w:t>
      </w:r>
      <w:r>
        <w:rPr>
          <w:rFonts w:eastAsia="MS PGothic"/>
          <w:vertAlign w:val="superscript"/>
          <w:lang w:val="en-US"/>
        </w:rPr>
        <w:t>,2</w:t>
      </w:r>
      <w:r w:rsidRPr="00221B64">
        <w:rPr>
          <w:rFonts w:eastAsia="MS PGothic"/>
          <w:lang w:val="en-US"/>
        </w:rPr>
        <w:t xml:space="preserve"> </w:t>
      </w:r>
    </w:p>
    <w:p w:rsidR="001C44B5" w:rsidRPr="00221B64" w:rsidRDefault="001C44B5" w:rsidP="00040D6B">
      <w:pPr>
        <w:rPr>
          <w:lang w:val="en-US" w:eastAsia="ru-RU"/>
        </w:rPr>
      </w:pPr>
      <w:r w:rsidRPr="00221B64">
        <w:rPr>
          <w:vertAlign w:val="superscript"/>
          <w:lang w:val="en-US" w:eastAsia="ru-RU"/>
        </w:rPr>
        <w:t>1</w:t>
      </w:r>
      <w:r w:rsidRPr="00221B64">
        <w:rPr>
          <w:lang w:val="en-US" w:eastAsia="ru-RU"/>
        </w:rPr>
        <w:t>Nagiev Institute of Catalysis and Inorganic Chemistry, National Academy of Sciences of Azerbaijan,</w:t>
      </w:r>
      <w:r w:rsidRPr="00221B64">
        <w:rPr>
          <w:i/>
          <w:lang w:val="en-US" w:eastAsia="ru-RU"/>
        </w:rPr>
        <w:t xml:space="preserve"> </w:t>
      </w:r>
      <w:r w:rsidRPr="00221B64">
        <w:rPr>
          <w:lang w:val="en-US" w:eastAsia="ru-RU"/>
        </w:rPr>
        <w:t>113 H.Javid av., az 1143, Baku, Azerbaijan</w:t>
      </w:r>
    </w:p>
    <w:p w:rsidR="00AC3BCD" w:rsidRPr="00221B64" w:rsidRDefault="001C44B5" w:rsidP="00040D6B">
      <w:pPr>
        <w:rPr>
          <w:rFonts w:eastAsia="MS PGothic" w:hAnsi="Arial"/>
        </w:rPr>
      </w:pPr>
      <w:r w:rsidRPr="00221B64">
        <w:rPr>
          <w:vertAlign w:val="superscript"/>
          <w:lang w:val="en-US" w:eastAsia="ru-RU"/>
        </w:rPr>
        <w:t>2</w:t>
      </w:r>
      <w:r w:rsidRPr="00221B64">
        <w:rPr>
          <w:lang w:val="en-US" w:eastAsia="ru-RU"/>
        </w:rPr>
        <w:t>Baku State University, 23 Z.Khalilov, az 1148, Baku, Azerbaijan</w:t>
      </w:r>
    </w:p>
    <w:p w:rsidR="002F6BDE" w:rsidRPr="002F6BDE" w:rsidRDefault="002F6BDE" w:rsidP="00E72E5B">
      <w:pPr>
        <w:jc w:val="both"/>
        <w:rPr>
          <w:lang w:val="en-US"/>
        </w:rPr>
      </w:pPr>
    </w:p>
    <w:p w:rsidR="002F6BDE" w:rsidRPr="002F6BDE" w:rsidRDefault="00E72E5B" w:rsidP="002F6BDE">
      <w:pPr>
        <w:ind w:firstLine="720"/>
        <w:jc w:val="both"/>
        <w:rPr>
          <w:lang w:val="en-US"/>
        </w:rPr>
      </w:pPr>
      <w:r w:rsidRPr="002F6BDE">
        <w:rPr>
          <w:lang w:val="en-US"/>
        </w:rPr>
        <w:t>K</w:t>
      </w:r>
      <w:r w:rsidR="002F6BDE" w:rsidRPr="002F6BDE">
        <w:rPr>
          <w:lang w:val="en-US"/>
        </w:rPr>
        <w:t>inetics</w:t>
      </w:r>
      <w:r>
        <w:rPr>
          <w:lang w:val="en-US"/>
        </w:rPr>
        <w:t xml:space="preserve"> </w:t>
      </w:r>
      <w:r w:rsidR="002F6BDE" w:rsidRPr="002F6BDE">
        <w:rPr>
          <w:lang w:val="en-US"/>
        </w:rPr>
        <w:t xml:space="preserve">in the model system </w:t>
      </w:r>
      <w:r>
        <w:rPr>
          <w:lang w:val="en-US"/>
        </w:rPr>
        <w:t>of</w:t>
      </w:r>
      <w:r w:rsidR="002F6BDE" w:rsidRPr="002F6BDE">
        <w:rPr>
          <w:lang w:val="en-US"/>
        </w:rPr>
        <w:t xml:space="preserve"> reaction of ethyl alcohol </w:t>
      </w:r>
      <w:r w:rsidRPr="002F6BDE">
        <w:rPr>
          <w:lang w:val="en-US"/>
        </w:rPr>
        <w:t xml:space="preserve">conversion </w:t>
      </w:r>
      <w:r w:rsidR="002F6BDE" w:rsidRPr="002F6BDE">
        <w:rPr>
          <w:lang w:val="en-US"/>
        </w:rPr>
        <w:t xml:space="preserve">to acetaldehyde peroxidase </w:t>
      </w:r>
      <w:r>
        <w:rPr>
          <w:lang w:val="en-US"/>
        </w:rPr>
        <w:t>by</w:t>
      </w:r>
      <w:r w:rsidRPr="002F6BDE">
        <w:rPr>
          <w:lang w:val="en-US"/>
        </w:rPr>
        <w:t xml:space="preserve"> hydrogen peroxide </w:t>
      </w:r>
      <w:r w:rsidR="002F6BDE" w:rsidRPr="002F6BDE">
        <w:rPr>
          <w:lang w:val="en-US"/>
        </w:rPr>
        <w:t xml:space="preserve">in the presence of an iron porphyrin-containing biomimetic catalyst </w:t>
      </w:r>
      <w:r w:rsidR="00E85C45">
        <w:rPr>
          <w:lang w:val="en-US"/>
        </w:rPr>
        <w:t>were</w:t>
      </w:r>
      <w:r>
        <w:rPr>
          <w:lang w:val="en-US"/>
        </w:rPr>
        <w:t xml:space="preserve"> studied. Application </w:t>
      </w:r>
      <w:r w:rsidR="002F6BDE" w:rsidRPr="002F6BDE">
        <w:rPr>
          <w:lang w:val="en-US"/>
        </w:rPr>
        <w:t>of such oxidation system, as shown by experimental results, meets the basic requirements of the Green Chemistry concept.</w:t>
      </w:r>
    </w:p>
    <w:p w:rsidR="002F6BDE" w:rsidRPr="002F6BDE" w:rsidRDefault="002F6BDE" w:rsidP="002F6BDE">
      <w:pPr>
        <w:ind w:firstLine="720"/>
        <w:jc w:val="both"/>
        <w:rPr>
          <w:lang w:val="en-US"/>
        </w:rPr>
      </w:pPr>
      <w:r w:rsidRPr="002F6BDE">
        <w:rPr>
          <w:lang w:val="en-US"/>
        </w:rPr>
        <w:t xml:space="preserve">The process was carried out in the gas phase at </w:t>
      </w:r>
      <w:r w:rsidR="00E72E5B">
        <w:rPr>
          <w:lang w:val="en-US"/>
        </w:rPr>
        <w:t>the</w:t>
      </w:r>
      <w:r w:rsidRPr="002F6BDE">
        <w:rPr>
          <w:lang w:val="en-US"/>
        </w:rPr>
        <w:t xml:space="preserve"> temperature of 180°</w:t>
      </w:r>
      <w:r w:rsidR="00E72E5B">
        <w:rPr>
          <w:lang w:val="en-US"/>
        </w:rPr>
        <w:t xml:space="preserve">C and atmospheric pressure on </w:t>
      </w:r>
      <w:r w:rsidRPr="002F6BDE">
        <w:rPr>
          <w:lang w:val="en-US"/>
        </w:rPr>
        <w:t xml:space="preserve"> per-FTPhPFe</w:t>
      </w:r>
      <w:r w:rsidRPr="00040D6B">
        <w:rPr>
          <w:vertAlign w:val="superscript"/>
          <w:lang w:val="en-US"/>
        </w:rPr>
        <w:t>3+</w:t>
      </w:r>
      <w:r w:rsidRPr="002F6BDE">
        <w:rPr>
          <w:lang w:val="en-US"/>
        </w:rPr>
        <w:t>OH/Al</w:t>
      </w:r>
      <w:r w:rsidRPr="00040D6B">
        <w:rPr>
          <w:vertAlign w:val="subscript"/>
          <w:lang w:val="en-US"/>
        </w:rPr>
        <w:t>2</w:t>
      </w:r>
      <w:r w:rsidRPr="002F6BDE">
        <w:rPr>
          <w:lang w:val="en-US"/>
        </w:rPr>
        <w:t>O</w:t>
      </w:r>
      <w:r w:rsidRPr="00040D6B">
        <w:rPr>
          <w:vertAlign w:val="subscript"/>
          <w:lang w:val="en-US"/>
        </w:rPr>
        <w:t>3</w:t>
      </w:r>
      <w:r w:rsidRPr="002F6BDE">
        <w:rPr>
          <w:lang w:val="en-US"/>
        </w:rPr>
        <w:t xml:space="preserve"> </w:t>
      </w:r>
      <w:r w:rsidR="00E72E5B" w:rsidRPr="002F6BDE">
        <w:rPr>
          <w:lang w:val="en-US"/>
        </w:rPr>
        <w:t xml:space="preserve">heterogeneous biomimetic </w:t>
      </w:r>
      <w:r w:rsidRPr="002F6BDE">
        <w:rPr>
          <w:lang w:val="en-US"/>
        </w:rPr>
        <w:t>catalys</w:t>
      </w:r>
      <w:r w:rsidR="00E72E5B">
        <w:rPr>
          <w:lang w:val="en-US"/>
        </w:rPr>
        <w:t xml:space="preserve">t using 20% ​​hydrogen peroxide. As a result of the process </w:t>
      </w:r>
      <w:r w:rsidRPr="002F6BDE">
        <w:rPr>
          <w:lang w:val="en-US"/>
        </w:rPr>
        <w:t xml:space="preserve">acetaldehyde was obtained with </w:t>
      </w:r>
      <w:r w:rsidR="00123475">
        <w:rPr>
          <w:lang w:val="en-US"/>
        </w:rPr>
        <w:t>the</w:t>
      </w:r>
      <w:r w:rsidRPr="002F6BDE">
        <w:rPr>
          <w:lang w:val="en-US"/>
        </w:rPr>
        <w:t xml:space="preserve"> yield of 93.5% and selectivity </w:t>
      </w:r>
      <w:r w:rsidR="00123475">
        <w:rPr>
          <w:lang w:val="en-US"/>
        </w:rPr>
        <w:t>of 98%</w:t>
      </w:r>
      <w:r w:rsidR="00123475" w:rsidRPr="00123475">
        <w:rPr>
          <w:lang w:val="en-US"/>
        </w:rPr>
        <w:t xml:space="preserve"> </w:t>
      </w:r>
      <w:r w:rsidR="00123475">
        <w:rPr>
          <w:lang w:val="en-US"/>
        </w:rPr>
        <w:t>(</w:t>
      </w:r>
      <w:r w:rsidR="00123475" w:rsidRPr="002F6BDE">
        <w:rPr>
          <w:lang w:val="en-US"/>
        </w:rPr>
        <w:t>taking into account the loss</w:t>
      </w:r>
      <w:r w:rsidR="00123475">
        <w:rPr>
          <w:lang w:val="en-US"/>
        </w:rPr>
        <w:t>).</w:t>
      </w:r>
    </w:p>
    <w:p w:rsidR="002F6BDE" w:rsidRPr="002F6BDE" w:rsidRDefault="00123475" w:rsidP="002F6BDE">
      <w:pPr>
        <w:ind w:firstLine="720"/>
        <w:jc w:val="both"/>
        <w:rPr>
          <w:lang w:val="en-US"/>
        </w:rPr>
      </w:pPr>
      <w:r>
        <w:rPr>
          <w:lang w:val="en-US"/>
        </w:rPr>
        <w:t>Through the</w:t>
      </w:r>
      <w:r w:rsidR="002F6BDE" w:rsidRPr="002F6BDE">
        <w:rPr>
          <w:lang w:val="en-US"/>
        </w:rPr>
        <w:t xml:space="preserve"> experimental study of kinetic laws of </w:t>
      </w:r>
      <w:r w:rsidRPr="002F6BDE">
        <w:rPr>
          <w:lang w:val="en-US"/>
        </w:rPr>
        <w:t xml:space="preserve">ethyl alcohol </w:t>
      </w:r>
      <w:r w:rsidR="002F6BDE" w:rsidRPr="002F6BDE">
        <w:rPr>
          <w:lang w:val="en-US"/>
        </w:rPr>
        <w:t xml:space="preserve">peroxidase reaction, coherently synchronized nature of the mechanism of ethyl alcohol </w:t>
      </w:r>
      <w:r w:rsidRPr="002F6BDE">
        <w:rPr>
          <w:lang w:val="en-US"/>
        </w:rPr>
        <w:t xml:space="preserve">conversion </w:t>
      </w:r>
      <w:r w:rsidR="002F6BDE" w:rsidRPr="002F6BDE">
        <w:rPr>
          <w:lang w:val="en-US"/>
        </w:rPr>
        <w:t xml:space="preserve">to acetaldehyde by hydrogen peroxide on the surface of the biomimetic was </w:t>
      </w:r>
      <w:r>
        <w:rPr>
          <w:lang w:val="en-US"/>
        </w:rPr>
        <w:t>identified. Thereby there was a need for</w:t>
      </w:r>
      <w:r w:rsidR="002F6BDE" w:rsidRPr="002F6BDE">
        <w:rPr>
          <w:lang w:val="en-US"/>
        </w:rPr>
        <w:t xml:space="preserve"> a special approach to the kinetic modeling of this reaction. The mechanism presented </w:t>
      </w:r>
      <w:r>
        <w:rPr>
          <w:lang w:val="en-US"/>
        </w:rPr>
        <w:t>demonstrates</w:t>
      </w:r>
      <w:r w:rsidR="002F6BDE" w:rsidRPr="002F6BDE">
        <w:rPr>
          <w:lang w:val="en-US"/>
        </w:rPr>
        <w:t xml:space="preserve"> that t</w:t>
      </w:r>
      <w:r w:rsidR="00F32372">
        <w:rPr>
          <w:lang w:val="en-US"/>
        </w:rPr>
        <w:t>he following two</w:t>
      </w:r>
      <w:r w:rsidR="002F6BDE" w:rsidRPr="002F6BDE">
        <w:rPr>
          <w:lang w:val="en-US"/>
        </w:rPr>
        <w:t xml:space="preserve"> interconnected and interacting reactions proceed in this system: the</w:t>
      </w:r>
      <w:r w:rsidR="00F32372">
        <w:rPr>
          <w:lang w:val="en-US"/>
        </w:rPr>
        <w:t xml:space="preserve"> reaction of</w:t>
      </w:r>
      <w:r w:rsidR="002F6BDE" w:rsidRPr="002F6BDE">
        <w:rPr>
          <w:lang w:val="en-US"/>
        </w:rPr>
        <w:t xml:space="preserve"> </w:t>
      </w:r>
      <w:r w:rsidR="00F32372" w:rsidRPr="002F6BDE">
        <w:rPr>
          <w:lang w:val="ru-RU"/>
        </w:rPr>
        <w:t>Н</w:t>
      </w:r>
      <w:r w:rsidR="00F32372" w:rsidRPr="00040D6B">
        <w:rPr>
          <w:vertAlign w:val="subscript"/>
          <w:lang w:val="en-US"/>
        </w:rPr>
        <w:t>2</w:t>
      </w:r>
      <w:r w:rsidR="00F32372" w:rsidRPr="002F6BDE">
        <w:rPr>
          <w:lang w:val="ru-RU"/>
        </w:rPr>
        <w:t>О</w:t>
      </w:r>
      <w:r w:rsidR="00F32372" w:rsidRPr="00040D6B">
        <w:rPr>
          <w:vertAlign w:val="subscript"/>
          <w:lang w:val="en-US"/>
        </w:rPr>
        <w:t>2</w:t>
      </w:r>
      <w:r w:rsidR="00F32372" w:rsidRPr="002F6BDE">
        <w:rPr>
          <w:lang w:val="en-US"/>
        </w:rPr>
        <w:t xml:space="preserve"> </w:t>
      </w:r>
      <w:r w:rsidR="002F6BDE" w:rsidRPr="002F6BDE">
        <w:rPr>
          <w:lang w:val="en-US"/>
        </w:rPr>
        <w:t xml:space="preserve">decomposition of and the </w:t>
      </w:r>
      <w:r w:rsidR="00F32372">
        <w:rPr>
          <w:lang w:val="en-US"/>
        </w:rPr>
        <w:t xml:space="preserve">reaction of </w:t>
      </w:r>
      <w:r w:rsidR="002F6BDE" w:rsidRPr="002F6BDE">
        <w:rPr>
          <w:lang w:val="en-US"/>
        </w:rPr>
        <w:t>peroxidase oxidation of ethyl alcohol, according to [1-3].</w:t>
      </w:r>
    </w:p>
    <w:p w:rsidR="002F6BDE" w:rsidRDefault="002F6BDE" w:rsidP="002F6BDE">
      <w:pPr>
        <w:ind w:firstLine="720"/>
        <w:jc w:val="both"/>
        <w:rPr>
          <w:lang w:val="en-US"/>
        </w:rPr>
      </w:pPr>
      <w:r w:rsidRPr="00F32372">
        <w:rPr>
          <w:lang w:val="en-US"/>
        </w:rPr>
        <w:t xml:space="preserve">The condition for coherence between these synchronously proceeding reactions is their quantitative characteristic determined by </w:t>
      </w:r>
      <w:r w:rsidR="00F32372" w:rsidRPr="00F32372">
        <w:rPr>
          <w:lang w:val="en-US"/>
        </w:rPr>
        <w:t xml:space="preserve">determinant </w:t>
      </w:r>
      <w:r w:rsidRPr="00F32372">
        <w:rPr>
          <w:lang w:val="en-US"/>
        </w:rPr>
        <w:t>equation [1]:</w:t>
      </w:r>
    </w:p>
    <w:p w:rsidR="00A84C0E" w:rsidRPr="00040D6B" w:rsidRDefault="00040D6B" w:rsidP="00A84C0E">
      <w:pPr>
        <w:ind w:left="2832" w:firstLine="708"/>
        <w:jc w:val="both"/>
        <w:rPr>
          <w:lang w:val="en-US"/>
        </w:rPr>
      </w:pPr>
      <m:oMathPara>
        <m:oMath>
          <m:r>
            <w:rPr>
              <w:rFonts w:ascii="Cambria Math" w:hAnsi="Cambria Math"/>
            </w:rPr>
            <m:t>D=ν</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lang w:val="az-Latn-AZ"/>
                            </w:rPr>
                            <m:t>r</m:t>
                          </m:r>
                        </m:e>
                        <m:sub>
                          <m:r>
                            <w:rPr>
                              <w:rFonts w:ascii="Cambria Math" w:hAnsi="Cambria Math"/>
                            </w:rPr>
                            <m:t>A1</m:t>
                          </m:r>
                        </m:sub>
                      </m:sSub>
                    </m:num>
                    <m:den>
                      <m:sSub>
                        <m:sSubPr>
                          <m:ctrlPr>
                            <w:rPr>
                              <w:rFonts w:ascii="Cambria Math" w:hAnsi="Cambria Math"/>
                              <w:i/>
                            </w:rPr>
                          </m:ctrlPr>
                        </m:sSubPr>
                        <m:e>
                          <m:r>
                            <w:rPr>
                              <w:rFonts w:ascii="Cambria Math" w:hAnsi="Cambria Math"/>
                            </w:rPr>
                            <m:t>r</m:t>
                          </m:r>
                        </m:e>
                        <m:sub>
                          <m:r>
                            <w:rPr>
                              <w:rFonts w:ascii="Cambria Math" w:hAnsi="Cambria Math"/>
                            </w:rPr>
                            <m:t>Acc</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A2</m:t>
                          </m:r>
                        </m:sub>
                      </m:sSub>
                    </m:num>
                    <m:den>
                      <m:sSub>
                        <m:sSubPr>
                          <m:ctrlPr>
                            <w:rPr>
                              <w:rFonts w:ascii="Cambria Math" w:eastAsia="Calibri" w:hAnsi="Cambria Math"/>
                              <w:i/>
                              <w:lang w:val="ru-RU" w:eastAsia="en-US"/>
                            </w:rPr>
                          </m:ctrlPr>
                        </m:sSubPr>
                        <m:e>
                          <m:r>
                            <w:rPr>
                              <w:rFonts w:ascii="Cambria Math" w:hAnsi="Cambria Math"/>
                            </w:rPr>
                            <m:t>r</m:t>
                          </m:r>
                        </m:e>
                        <m:sub>
                          <m:r>
                            <w:rPr>
                              <w:rFonts w:ascii="Cambria Math" w:hAnsi="Cambria Math"/>
                            </w:rPr>
                            <m:t>Acc</m:t>
                          </m:r>
                        </m:sub>
                      </m:sSub>
                    </m:den>
                  </m:f>
                </m:e>
              </m:d>
            </m:e>
            <m:sup>
              <m:r>
                <w:rPr>
                  <w:rFonts w:ascii="Cambria Math" w:hAnsi="Cambria Math"/>
                </w:rPr>
                <m:t>-1</m:t>
              </m:r>
            </m:sup>
          </m:sSup>
        </m:oMath>
      </m:oMathPara>
    </w:p>
    <w:p w:rsidR="007C4780" w:rsidRPr="002F6BDE" w:rsidRDefault="002F6BDE" w:rsidP="007C4780">
      <w:pPr>
        <w:jc w:val="both"/>
        <w:rPr>
          <w:lang w:val="en-US"/>
        </w:rPr>
      </w:pPr>
      <w:r w:rsidRPr="002F6BDE">
        <w:rPr>
          <w:lang w:val="en-US"/>
        </w:rPr>
        <w:t xml:space="preserve">where the D </w:t>
      </w:r>
      <w:r w:rsidR="00F32372" w:rsidRPr="002F6BDE">
        <w:rPr>
          <w:lang w:val="en-US"/>
        </w:rPr>
        <w:t xml:space="preserve">factor </w:t>
      </w:r>
      <w:r w:rsidRPr="002F6BDE">
        <w:rPr>
          <w:lang w:val="en-US"/>
        </w:rPr>
        <w:t xml:space="preserve">in the </w:t>
      </w:r>
      <w:r w:rsidR="00395183">
        <w:rPr>
          <w:lang w:val="en-US"/>
        </w:rPr>
        <w:t>area</w:t>
      </w:r>
      <w:r w:rsidRPr="002F6BDE">
        <w:rPr>
          <w:lang w:val="en-US"/>
        </w:rPr>
        <w:t xml:space="preserve"> of chemical conjugation is D = 0 ÷ </w:t>
      </w:r>
      <w:r w:rsidRPr="002F6BDE">
        <w:rPr>
          <w:lang w:val="ru-RU"/>
        </w:rPr>
        <w:t>ν</w:t>
      </w:r>
      <w:r w:rsidRPr="002F6BDE">
        <w:rPr>
          <w:lang w:val="en-US"/>
        </w:rPr>
        <w:t>.</w:t>
      </w:r>
    </w:p>
    <w:p w:rsidR="002F6BDE" w:rsidRPr="002F6BDE" w:rsidRDefault="00040D6B" w:rsidP="002F6BDE">
      <w:pPr>
        <w:jc w:val="both"/>
        <w:rPr>
          <w:lang w:val="en-US"/>
        </w:rPr>
      </w:pPr>
      <m:oMath>
        <m:sSub>
          <m:sSubPr>
            <m:ctrlPr>
              <w:rPr>
                <w:rFonts w:ascii="Cambria Math" w:eastAsia="Calibri" w:hAnsi="Cambria Math"/>
                <w:i/>
                <w:lang w:val="en-US" w:eastAsia="en-US"/>
              </w:rPr>
            </m:ctrlPr>
          </m:sSubPr>
          <m:e>
            <m:r>
              <w:rPr>
                <w:rFonts w:ascii="Cambria Math" w:hAnsi="Cambria Math"/>
                <w:lang w:val="en-US"/>
              </w:rPr>
              <m:t>r</m:t>
            </m:r>
          </m:e>
          <m:sub>
            <m:r>
              <w:rPr>
                <w:rFonts w:ascii="Cambria Math" w:hAnsi="Cambria Math"/>
                <w:lang w:val="en-US"/>
              </w:rPr>
              <m:t>A1</m:t>
            </m:r>
          </m:sub>
        </m:sSub>
        <m:sSub>
          <m:sSubPr>
            <m:ctrlPr>
              <w:rPr>
                <w:rFonts w:ascii="Cambria Math" w:eastAsia="Calibri" w:hAnsi="Cambria Math"/>
                <w:i/>
                <w:lang w:val="en-US" w:eastAsia="en-US"/>
              </w:rPr>
            </m:ctrlPr>
          </m:sSubPr>
          <m:e>
            <m:r>
              <w:rPr>
                <w:rFonts w:ascii="Cambria Math" w:hAnsi="Cambria Math"/>
              </w:rPr>
              <m:t xml:space="preserve">и </m:t>
            </m:r>
            <m:r>
              <w:rPr>
                <w:rFonts w:ascii="Cambria Math" w:hAnsi="Cambria Math"/>
                <w:lang w:val="en-US"/>
              </w:rPr>
              <m:t>r</m:t>
            </m:r>
          </m:e>
          <m:sub>
            <m:r>
              <w:rPr>
                <w:rFonts w:ascii="Cambria Math" w:hAnsi="Cambria Math"/>
                <w:lang w:val="en-US"/>
              </w:rPr>
              <m:t>A2</m:t>
            </m:r>
          </m:sub>
        </m:sSub>
      </m:oMath>
      <w:r w:rsidR="007C4780" w:rsidRPr="002F6BDE">
        <w:rPr>
          <w:lang w:val="en-US"/>
        </w:rPr>
        <w:t xml:space="preserve">- </w:t>
      </w:r>
      <w:r w:rsidR="002F6BDE" w:rsidRPr="002F6BDE">
        <w:rPr>
          <w:lang w:val="en-US"/>
        </w:rPr>
        <w:t>rate</w:t>
      </w:r>
      <w:r w:rsidR="00395183">
        <w:rPr>
          <w:lang w:val="en-US"/>
        </w:rPr>
        <w:t>s</w:t>
      </w:r>
      <w:r w:rsidR="002F6BDE" w:rsidRPr="002F6BDE">
        <w:rPr>
          <w:lang w:val="en-US"/>
        </w:rPr>
        <w:t xml:space="preserve"> of </w:t>
      </w:r>
      <w:r w:rsidR="00395183" w:rsidRPr="002F6BDE">
        <w:rPr>
          <w:lang w:val="en-US"/>
        </w:rPr>
        <w:t>actor (</w:t>
      </w:r>
      <w:r w:rsidR="00395183" w:rsidRPr="002F6BDE">
        <w:rPr>
          <w:lang w:val="ru-RU"/>
        </w:rPr>
        <w:t>Н</w:t>
      </w:r>
      <w:r w:rsidR="00395183" w:rsidRPr="00040D6B">
        <w:rPr>
          <w:vertAlign w:val="subscript"/>
          <w:lang w:val="en-US"/>
        </w:rPr>
        <w:t>2</w:t>
      </w:r>
      <w:r w:rsidR="00395183" w:rsidRPr="002F6BDE">
        <w:rPr>
          <w:lang w:val="ru-RU"/>
        </w:rPr>
        <w:t>О</w:t>
      </w:r>
      <w:r w:rsidR="00395183" w:rsidRPr="00040D6B">
        <w:rPr>
          <w:vertAlign w:val="subscript"/>
          <w:lang w:val="en-US"/>
        </w:rPr>
        <w:t>2</w:t>
      </w:r>
      <w:r w:rsidR="00395183" w:rsidRPr="002F6BDE">
        <w:rPr>
          <w:lang w:val="en-US"/>
        </w:rPr>
        <w:t xml:space="preserve">) </w:t>
      </w:r>
      <w:r w:rsidR="002F6BDE" w:rsidRPr="002F6BDE">
        <w:rPr>
          <w:lang w:val="en-US"/>
        </w:rPr>
        <w:t xml:space="preserve">consumption </w:t>
      </w:r>
      <w:r w:rsidR="00E85C45">
        <w:rPr>
          <w:lang w:val="en-US"/>
        </w:rPr>
        <w:t>for</w:t>
      </w:r>
      <w:r w:rsidR="002F6BDE" w:rsidRPr="002F6BDE">
        <w:rPr>
          <w:lang w:val="en-US"/>
        </w:rPr>
        <w:t xml:space="preserve"> the formation of final products in the primary </w:t>
      </w:r>
      <w:r w:rsidR="00395183">
        <w:rPr>
          <w:lang w:val="en-US"/>
        </w:rPr>
        <w:t>(Catalase) and secondary (Peroxidase)</w:t>
      </w:r>
      <w:r w:rsidR="002F6BDE" w:rsidRPr="002F6BDE">
        <w:rPr>
          <w:lang w:val="en-US"/>
        </w:rPr>
        <w:t xml:space="preserve"> reactions, respectively.</w:t>
      </w:r>
    </w:p>
    <w:p w:rsidR="002F6BDE" w:rsidRPr="002F6BDE" w:rsidRDefault="002F6BDE" w:rsidP="002F6BDE">
      <w:pPr>
        <w:jc w:val="both"/>
        <w:rPr>
          <w:lang w:val="en-US"/>
        </w:rPr>
      </w:pPr>
      <w:r w:rsidRPr="002F6BDE">
        <w:rPr>
          <w:lang w:val="ru-RU"/>
        </w:rPr>
        <w:t>ν</w:t>
      </w:r>
      <w:r w:rsidRPr="002F6BDE">
        <w:rPr>
          <w:lang w:val="en-US"/>
        </w:rPr>
        <w:t xml:space="preserve"> is stoichiometric coefficient of the actor.</w:t>
      </w:r>
    </w:p>
    <w:p w:rsidR="00470DBB" w:rsidRDefault="002F6BDE" w:rsidP="002F6BDE">
      <w:pPr>
        <w:jc w:val="both"/>
        <w:rPr>
          <w:lang w:val="en-US"/>
        </w:rPr>
      </w:pPr>
      <w:r w:rsidRPr="002F6BDE">
        <w:rPr>
          <w:lang w:val="en-US"/>
        </w:rPr>
        <w:t xml:space="preserve">The use of this equation in </w:t>
      </w:r>
      <w:r w:rsidR="00395183">
        <w:rPr>
          <w:lang w:val="en-US"/>
        </w:rPr>
        <w:t xml:space="preserve">the </w:t>
      </w:r>
      <w:r w:rsidRPr="002F6BDE">
        <w:rPr>
          <w:lang w:val="en-US"/>
        </w:rPr>
        <w:t xml:space="preserve">kinetic modeling </w:t>
      </w:r>
      <w:r w:rsidR="00395183">
        <w:rPr>
          <w:lang w:val="en-US"/>
        </w:rPr>
        <w:t>makes it possible</w:t>
      </w:r>
      <w:r w:rsidRPr="002F6BDE">
        <w:rPr>
          <w:lang w:val="en-US"/>
        </w:rPr>
        <w:t xml:space="preserve"> to obtain more adequate values ​​for kinetic parameters, which are within the </w:t>
      </w:r>
      <w:r w:rsidR="00395183">
        <w:rPr>
          <w:lang w:val="en-US"/>
        </w:rPr>
        <w:t>range of parameters</w:t>
      </w:r>
      <w:r w:rsidRPr="002F6BDE">
        <w:rPr>
          <w:lang w:val="en-US"/>
        </w:rPr>
        <w:t xml:space="preserve"> characteristic of enzymatic reactions. This is facilitated by the fact that the determinant equation allows to </w:t>
      </w:r>
      <w:r w:rsidR="00395183">
        <w:rPr>
          <w:lang w:val="en-US"/>
        </w:rPr>
        <w:t>consider</w:t>
      </w:r>
      <w:r w:rsidRPr="002F6BDE">
        <w:rPr>
          <w:lang w:val="en-US"/>
        </w:rPr>
        <w:t xml:space="preserve"> the rates of both simultaneously occurring coherently synchronized reactions </w:t>
      </w:r>
      <w:r w:rsidR="00395183">
        <w:rPr>
          <w:lang w:val="en-US"/>
        </w:rPr>
        <w:t>with</w:t>
      </w:r>
      <w:r w:rsidRPr="002F6BDE">
        <w:rPr>
          <w:lang w:val="en-US"/>
        </w:rPr>
        <w:t>in the kinetic model.</w:t>
      </w:r>
    </w:p>
    <w:p w:rsidR="002F6BDE" w:rsidRPr="002F6BDE" w:rsidRDefault="002F6BDE" w:rsidP="002F6BDE">
      <w:pPr>
        <w:jc w:val="both"/>
        <w:rPr>
          <w:lang w:val="en-US"/>
        </w:rPr>
      </w:pPr>
    </w:p>
    <w:p w:rsidR="0009532C" w:rsidRDefault="00470DBB" w:rsidP="00040D6B">
      <w:pPr>
        <w:rPr>
          <w:b/>
          <w:lang w:val="az-Latn-AZ"/>
        </w:rPr>
      </w:pPr>
      <w:r w:rsidRPr="00221B64">
        <w:rPr>
          <w:b/>
          <w:lang w:val="az-Latn-AZ"/>
        </w:rPr>
        <w:t>References</w:t>
      </w:r>
    </w:p>
    <w:p w:rsidR="00040D6B" w:rsidRPr="00221B64" w:rsidRDefault="00040D6B" w:rsidP="00040D6B">
      <w:pPr>
        <w:rPr>
          <w:b/>
          <w:lang w:val="az-Latn-AZ"/>
        </w:rPr>
      </w:pPr>
    </w:p>
    <w:p w:rsidR="00470DBB" w:rsidRPr="00221B64" w:rsidRDefault="00470DBB" w:rsidP="00040D6B">
      <w:pPr>
        <w:numPr>
          <w:ilvl w:val="0"/>
          <w:numId w:val="6"/>
        </w:numPr>
        <w:ind w:left="284" w:hanging="284"/>
        <w:jc w:val="both"/>
      </w:pPr>
      <w:r w:rsidRPr="00221B64">
        <w:rPr>
          <w:lang w:val="en-US"/>
        </w:rPr>
        <w:t xml:space="preserve">T. M. Nagiev, Coherent Synchronized Oxidation Reactions by Hydrogen Peroxide. Amsterdam: Elsevier. 2007. 325 </w:t>
      </w:r>
      <w:r w:rsidRPr="00221B64">
        <w:t>р</w:t>
      </w:r>
    </w:p>
    <w:p w:rsidR="00AC3BCD" w:rsidRPr="00221B64" w:rsidRDefault="00470DBB" w:rsidP="00040D6B">
      <w:pPr>
        <w:numPr>
          <w:ilvl w:val="0"/>
          <w:numId w:val="6"/>
        </w:numPr>
        <w:ind w:left="284" w:hanging="284"/>
        <w:jc w:val="both"/>
      </w:pPr>
      <w:r w:rsidRPr="00221B64">
        <w:rPr>
          <w:rFonts w:eastAsia="MS PGothic"/>
          <w:lang w:val="en-US"/>
        </w:rPr>
        <w:t xml:space="preserve">T. M. Nagiev, Interaction of Synchronous Reactions in Chemistry and Biology. Baku: Elm. 2001. 404 </w:t>
      </w:r>
      <w:r w:rsidRPr="00221B64">
        <w:rPr>
          <w:rFonts w:eastAsia="MS PGothic"/>
        </w:rPr>
        <w:t>р</w:t>
      </w:r>
      <w:r w:rsidRPr="00221B64">
        <w:rPr>
          <w:rFonts w:eastAsia="MS PGothic"/>
          <w:lang w:val="en-US"/>
        </w:rPr>
        <w:t>. [in Russian].</w:t>
      </w:r>
    </w:p>
    <w:p w:rsidR="00136955" w:rsidRPr="00221B64" w:rsidRDefault="00136955" w:rsidP="00040D6B">
      <w:pPr>
        <w:numPr>
          <w:ilvl w:val="0"/>
          <w:numId w:val="6"/>
        </w:numPr>
        <w:ind w:left="284" w:hanging="284"/>
        <w:jc w:val="both"/>
      </w:pPr>
      <w:r w:rsidRPr="00221B64">
        <w:rPr>
          <w:rFonts w:eastAsia="MS PGothic"/>
          <w:lang w:val="en-US"/>
        </w:rPr>
        <w:t xml:space="preserve">Nagiev T., Gasanova L., Nagieva I., Nasirova U., Kinetics and Mechanism of Coherent Synchronized Ethylene Monooxidation by Hydrogen Peroxide on a Biomimetic Catalyst, </w:t>
      </w:r>
      <w:r w:rsidRPr="00221B64">
        <w:rPr>
          <w:lang w:val="en-US"/>
        </w:rPr>
        <w:t>per-FTPhPFe</w:t>
      </w:r>
      <w:r w:rsidRPr="00221B64">
        <w:rPr>
          <w:vertAlign w:val="superscript"/>
          <w:lang w:val="en-US"/>
        </w:rPr>
        <w:t>3+</w:t>
      </w:r>
      <w:r w:rsidRPr="00221B64">
        <w:rPr>
          <w:lang w:val="en-US"/>
        </w:rPr>
        <w:t>OH/Al</w:t>
      </w:r>
      <w:r w:rsidRPr="00221B64">
        <w:rPr>
          <w:vertAlign w:val="subscript"/>
          <w:lang w:val="en-US"/>
        </w:rPr>
        <w:t>2</w:t>
      </w:r>
      <w:r w:rsidRPr="00221B64">
        <w:rPr>
          <w:lang w:val="en-US"/>
        </w:rPr>
        <w:t>O</w:t>
      </w:r>
      <w:r w:rsidRPr="00221B64">
        <w:rPr>
          <w:vertAlign w:val="subscript"/>
          <w:lang w:val="en-US"/>
        </w:rPr>
        <w:t>3</w:t>
      </w:r>
      <w:r w:rsidRPr="00221B64">
        <w:rPr>
          <w:lang w:val="en-US"/>
        </w:rPr>
        <w:t xml:space="preserve"> // Journal of Material Science and Engineering, 2012, Vol. 2, No. 4, pp. 306-312.</w:t>
      </w:r>
    </w:p>
    <w:p w:rsidR="00040D6B" w:rsidRDefault="00040D6B" w:rsidP="00AC3BCD">
      <w:pPr>
        <w:jc w:val="both"/>
        <w:rPr>
          <w:b/>
        </w:rPr>
      </w:pPr>
    </w:p>
    <w:p w:rsidR="00040D6B" w:rsidRDefault="00040D6B" w:rsidP="00040D6B">
      <w:pPr>
        <w:jc w:val="both"/>
        <w:rPr>
          <w:b/>
        </w:rPr>
      </w:pPr>
      <w:r>
        <w:rPr>
          <w:b/>
        </w:rPr>
        <w:t>Biography</w:t>
      </w:r>
    </w:p>
    <w:p w:rsidR="00040D6B" w:rsidRDefault="00040D6B" w:rsidP="00040D6B">
      <w:pPr>
        <w:jc w:val="both"/>
        <w:rPr>
          <w:b/>
        </w:rPr>
      </w:pPr>
    </w:p>
    <w:p w:rsidR="00040D6B" w:rsidRPr="002862ED" w:rsidRDefault="00040D6B" w:rsidP="00040D6B">
      <w:pPr>
        <w:ind w:right="231"/>
        <w:jc w:val="both"/>
        <w:rPr>
          <w:rFonts w:eastAsia="Calibri"/>
          <w:lang w:val="en-US" w:eastAsia="ru-RU"/>
        </w:rPr>
      </w:pPr>
      <w:r w:rsidRPr="002862ED">
        <w:rPr>
          <w:rFonts w:eastAsia="Calibri"/>
          <w:lang w:val="en-US" w:eastAsia="ru-RU"/>
        </w:rPr>
        <w:t>Tofik Nagiev is a Vice-president of Azerbaijan National Academy of Sciences, Director of Research Center of “Azerbaijan National Encyclopedia” and Department chief of Nagiev Institute of Catalysis and inorganic chemistry of ANAS. The Professor of the department of the physical and colloid chemistry of Baku State University.</w:t>
      </w:r>
    </w:p>
    <w:p w:rsidR="00040D6B" w:rsidRPr="002862ED" w:rsidRDefault="00040D6B" w:rsidP="00040D6B">
      <w:pPr>
        <w:ind w:right="231"/>
        <w:jc w:val="both"/>
        <w:rPr>
          <w:rFonts w:eastAsia="Calibri"/>
          <w:lang w:val="en-US" w:eastAsia="ru-RU"/>
        </w:rPr>
      </w:pPr>
      <w:r w:rsidRPr="002862ED">
        <w:rPr>
          <w:rFonts w:eastAsia="Calibri"/>
          <w:lang w:val="en-US" w:eastAsia="ru-RU"/>
        </w:rPr>
        <w:t>He is author of the monography “Coherent Synchronized Oxidation Reactions by Hydrogen Peroxide”, Amsterdam: “Elsevier”, p. 325, 2007.</w:t>
      </w:r>
    </w:p>
    <w:p w:rsidR="00040D6B" w:rsidRPr="00AB736B" w:rsidRDefault="00040D6B" w:rsidP="00040D6B">
      <w:pPr>
        <w:rPr>
          <w:b/>
        </w:rPr>
      </w:pPr>
    </w:p>
    <w:p w:rsidR="00040D6B" w:rsidRPr="00AB736B" w:rsidRDefault="00040D6B" w:rsidP="00040D6B">
      <w:pPr>
        <w:rPr>
          <w:lang w:val="en-NZ"/>
        </w:rPr>
      </w:pPr>
      <w:r w:rsidRPr="008A690F">
        <w:rPr>
          <w:b/>
          <w:lang w:val="en-NZ"/>
        </w:rPr>
        <w:t>Presenting author details</w:t>
      </w:r>
      <w:r w:rsidRPr="00AB736B">
        <w:rPr>
          <w:b/>
          <w:lang w:val="en-NZ"/>
        </w:rPr>
        <w:br/>
      </w:r>
      <w:r w:rsidRPr="00AB736B">
        <w:rPr>
          <w:lang w:val="en-NZ"/>
        </w:rPr>
        <w:t xml:space="preserve">Full name: </w:t>
      </w:r>
      <w:r>
        <w:rPr>
          <w:lang w:val="en-NZ"/>
        </w:rPr>
        <w:t>Tofik Nagiev</w:t>
      </w:r>
    </w:p>
    <w:p w:rsidR="00040D6B" w:rsidRPr="00AB736B" w:rsidRDefault="00040D6B" w:rsidP="00040D6B">
      <w:pPr>
        <w:rPr>
          <w:lang w:val="en-NZ"/>
        </w:rPr>
      </w:pPr>
      <w:r w:rsidRPr="00AB736B">
        <w:rPr>
          <w:lang w:val="en-NZ"/>
        </w:rPr>
        <w:t>Contact number:</w:t>
      </w:r>
      <w:r>
        <w:rPr>
          <w:lang w:val="en-NZ"/>
        </w:rPr>
        <w:t xml:space="preserve"> +99412 5384707</w:t>
      </w:r>
    </w:p>
    <w:p w:rsidR="00040D6B" w:rsidRPr="00AB736B" w:rsidRDefault="00040D6B" w:rsidP="00040D6B">
      <w:pPr>
        <w:rPr>
          <w:lang w:val="en-NZ"/>
        </w:rPr>
      </w:pPr>
      <w:r w:rsidRPr="00AB736B">
        <w:rPr>
          <w:lang w:val="en-NZ"/>
        </w:rPr>
        <w:t xml:space="preserve">Category: </w:t>
      </w:r>
      <w:r>
        <w:rPr>
          <w:lang w:val="en-NZ"/>
        </w:rPr>
        <w:t>Poster</w:t>
      </w:r>
    </w:p>
    <w:p w:rsidR="00AC3BCD" w:rsidRPr="00221B64" w:rsidRDefault="00AC3BCD" w:rsidP="00040D6B">
      <w:pPr>
        <w:jc w:val="both"/>
        <w:rPr>
          <w:lang w:val="ru-RU"/>
        </w:rPr>
      </w:pPr>
    </w:p>
    <w:sectPr w:rsidR="00AC3BCD" w:rsidRPr="00221B64"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075" w:rsidRDefault="002C1075" w:rsidP="00671A59">
      <w:r>
        <w:separator/>
      </w:r>
    </w:p>
  </w:endnote>
  <w:endnote w:type="continuationSeparator" w:id="0">
    <w:p w:rsidR="002C1075" w:rsidRDefault="002C107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075" w:rsidRDefault="002C1075" w:rsidP="00671A59">
      <w:r>
        <w:separator/>
      </w:r>
    </w:p>
  </w:footnote>
  <w:footnote w:type="continuationSeparator" w:id="0">
    <w:p w:rsidR="002C1075" w:rsidRDefault="002C1075"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af"/>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0921F1"/>
    <w:multiLevelType w:val="hybridMultilevel"/>
    <w:tmpl w:val="7AB4B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1C364A6"/>
    <w:multiLevelType w:val="hybridMultilevel"/>
    <w:tmpl w:val="FDECD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CB6C35"/>
    <w:multiLevelType w:val="hybridMultilevel"/>
    <w:tmpl w:val="0E9CED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40D6B"/>
    <w:rsid w:val="00053A91"/>
    <w:rsid w:val="00072E30"/>
    <w:rsid w:val="00085B88"/>
    <w:rsid w:val="00090564"/>
    <w:rsid w:val="0009532C"/>
    <w:rsid w:val="00097CA5"/>
    <w:rsid w:val="000A4C72"/>
    <w:rsid w:val="000E0207"/>
    <w:rsid w:val="000E7A02"/>
    <w:rsid w:val="00101A04"/>
    <w:rsid w:val="00106952"/>
    <w:rsid w:val="001216E5"/>
    <w:rsid w:val="00123475"/>
    <w:rsid w:val="00132B61"/>
    <w:rsid w:val="0013563F"/>
    <w:rsid w:val="00136955"/>
    <w:rsid w:val="00145878"/>
    <w:rsid w:val="00157586"/>
    <w:rsid w:val="00166372"/>
    <w:rsid w:val="001A411C"/>
    <w:rsid w:val="001B1336"/>
    <w:rsid w:val="001B6DE6"/>
    <w:rsid w:val="001C44B5"/>
    <w:rsid w:val="001F414A"/>
    <w:rsid w:val="00205354"/>
    <w:rsid w:val="00221B64"/>
    <w:rsid w:val="002659F1"/>
    <w:rsid w:val="00270EC9"/>
    <w:rsid w:val="00292DC0"/>
    <w:rsid w:val="002B18D5"/>
    <w:rsid w:val="002C0F2B"/>
    <w:rsid w:val="002C1075"/>
    <w:rsid w:val="002E4789"/>
    <w:rsid w:val="002F6BDE"/>
    <w:rsid w:val="00326BB4"/>
    <w:rsid w:val="00337F18"/>
    <w:rsid w:val="003707A8"/>
    <w:rsid w:val="003753DD"/>
    <w:rsid w:val="00395183"/>
    <w:rsid w:val="003A4429"/>
    <w:rsid w:val="00470DBB"/>
    <w:rsid w:val="004775E3"/>
    <w:rsid w:val="0049217F"/>
    <w:rsid w:val="004A06F6"/>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84012"/>
    <w:rsid w:val="00691F82"/>
    <w:rsid w:val="006B463C"/>
    <w:rsid w:val="006C51B8"/>
    <w:rsid w:val="006F0C5C"/>
    <w:rsid w:val="007258AA"/>
    <w:rsid w:val="00743CCA"/>
    <w:rsid w:val="00746319"/>
    <w:rsid w:val="007875D1"/>
    <w:rsid w:val="00790C29"/>
    <w:rsid w:val="007B75F1"/>
    <w:rsid w:val="007C4780"/>
    <w:rsid w:val="007D7517"/>
    <w:rsid w:val="007F0333"/>
    <w:rsid w:val="00800D58"/>
    <w:rsid w:val="00834D93"/>
    <w:rsid w:val="00862283"/>
    <w:rsid w:val="00871FE2"/>
    <w:rsid w:val="00883562"/>
    <w:rsid w:val="008A3E9A"/>
    <w:rsid w:val="008A690F"/>
    <w:rsid w:val="008D74EC"/>
    <w:rsid w:val="00901E5B"/>
    <w:rsid w:val="00914055"/>
    <w:rsid w:val="009449C6"/>
    <w:rsid w:val="00970E67"/>
    <w:rsid w:val="009821B4"/>
    <w:rsid w:val="009A6AD9"/>
    <w:rsid w:val="009B0CCF"/>
    <w:rsid w:val="009B7F4F"/>
    <w:rsid w:val="009D3EA4"/>
    <w:rsid w:val="009D47E0"/>
    <w:rsid w:val="009E6632"/>
    <w:rsid w:val="009E6C61"/>
    <w:rsid w:val="00A31D17"/>
    <w:rsid w:val="00A41107"/>
    <w:rsid w:val="00A50066"/>
    <w:rsid w:val="00A54152"/>
    <w:rsid w:val="00A668A1"/>
    <w:rsid w:val="00A76351"/>
    <w:rsid w:val="00A76E81"/>
    <w:rsid w:val="00A83688"/>
    <w:rsid w:val="00A83863"/>
    <w:rsid w:val="00A84C0E"/>
    <w:rsid w:val="00AC1E17"/>
    <w:rsid w:val="00AC3BCD"/>
    <w:rsid w:val="00AD6315"/>
    <w:rsid w:val="00AD74A0"/>
    <w:rsid w:val="00AE3715"/>
    <w:rsid w:val="00AF4356"/>
    <w:rsid w:val="00B003A1"/>
    <w:rsid w:val="00B05FEA"/>
    <w:rsid w:val="00B26097"/>
    <w:rsid w:val="00B27625"/>
    <w:rsid w:val="00B675D9"/>
    <w:rsid w:val="00BF5676"/>
    <w:rsid w:val="00C0091C"/>
    <w:rsid w:val="00CE08A2"/>
    <w:rsid w:val="00D367E3"/>
    <w:rsid w:val="00DA2249"/>
    <w:rsid w:val="00DA581F"/>
    <w:rsid w:val="00DC29A1"/>
    <w:rsid w:val="00DC7405"/>
    <w:rsid w:val="00DD3006"/>
    <w:rsid w:val="00DE2102"/>
    <w:rsid w:val="00E06949"/>
    <w:rsid w:val="00E119D1"/>
    <w:rsid w:val="00E713DA"/>
    <w:rsid w:val="00E72E5B"/>
    <w:rsid w:val="00E85C45"/>
    <w:rsid w:val="00E85CF8"/>
    <w:rsid w:val="00EB20D4"/>
    <w:rsid w:val="00EB33A7"/>
    <w:rsid w:val="00EB353E"/>
    <w:rsid w:val="00ED51D7"/>
    <w:rsid w:val="00EE1DF0"/>
    <w:rsid w:val="00F01887"/>
    <w:rsid w:val="00F215A7"/>
    <w:rsid w:val="00F32372"/>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DB83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949"/>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b/>
      <w:bCs/>
      <w:kern w:val="32"/>
      <w:sz w:val="32"/>
      <w:szCs w:val="32"/>
      <w:lang w:val="x-none" w:eastAsia="x-none"/>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b/>
      <w:bCs/>
      <w:sz w:val="26"/>
      <w:szCs w:val="26"/>
      <w:lang w:val="x-none" w:eastAsia="x-none"/>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title Знак"/>
    <w:link w:val="1"/>
    <w:uiPriority w:val="9"/>
    <w:rPr>
      <w:rFonts w:ascii="Cambria" w:eastAsia="Times New Roman" w:hAnsi="Cambria" w:cs="Times New Roman"/>
      <w:b/>
      <w:bCs/>
      <w:kern w:val="32"/>
      <w:sz w:val="32"/>
      <w:szCs w:val="32"/>
    </w:rPr>
  </w:style>
  <w:style w:type="character" w:customStyle="1" w:styleId="30">
    <w:name w:val="Заголовок 3 Знак"/>
    <w:aliases w:val="Authors Знак"/>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lang w:val="x-none" w:eastAsia="x-none"/>
    </w:rPr>
  </w:style>
  <w:style w:type="character" w:customStyle="1" w:styleId="a5">
    <w:name w:val="Основной текст Знак"/>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sz w:val="20"/>
      <w:szCs w:val="20"/>
      <w:lang w:val="x-none" w:eastAsia="x-none"/>
    </w:rPr>
  </w:style>
  <w:style w:type="character" w:customStyle="1" w:styleId="a8">
    <w:name w:val="Текст примечания Знак"/>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Тема примечания Знак"/>
    <w:link w:val="a9"/>
    <w:uiPriority w:val="99"/>
    <w:semiHidden/>
    <w:rPr>
      <w:b/>
      <w:bCs/>
      <w:sz w:val="20"/>
      <w:szCs w:val="20"/>
    </w:rPr>
  </w:style>
  <w:style w:type="paragraph" w:styleId="ab">
    <w:name w:val="Balloon Text"/>
    <w:basedOn w:val="a"/>
    <w:link w:val="ac"/>
    <w:uiPriority w:val="99"/>
    <w:semiHidden/>
    <w:rsid w:val="00205354"/>
    <w:rPr>
      <w:rFonts w:ascii="Tahoma" w:hAnsi="Tahoma"/>
      <w:sz w:val="16"/>
      <w:szCs w:val="16"/>
      <w:lang w:val="x-none" w:eastAsia="x-none"/>
    </w:rPr>
  </w:style>
  <w:style w:type="character" w:customStyle="1" w:styleId="ac">
    <w:name w:val="Текст выноски Знак"/>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lang w:val="x-none" w:eastAsia="x-none"/>
    </w:rPr>
  </w:style>
  <w:style w:type="character" w:customStyle="1" w:styleId="ae">
    <w:name w:val="Основной текст с отступом Знак"/>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lang w:val="x-none" w:eastAsia="x-none"/>
    </w:rPr>
  </w:style>
  <w:style w:type="character" w:customStyle="1" w:styleId="af0">
    <w:name w:val="Верхний колонтитул Знак"/>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lang w:val="x-none" w:eastAsia="x-none"/>
    </w:rPr>
  </w:style>
  <w:style w:type="character" w:customStyle="1" w:styleId="af2">
    <w:name w:val="Нижний колонтитул Знак"/>
    <w:link w:val="af1"/>
    <w:uiPriority w:val="99"/>
    <w:semiHidden/>
    <w:rsid w:val="00671A59"/>
    <w:rPr>
      <w:sz w:val="24"/>
      <w:szCs w:val="24"/>
    </w:rPr>
  </w:style>
  <w:style w:type="paragraph" w:customStyle="1" w:styleId="xmsonormal">
    <w:name w:val="x_msonormal"/>
    <w:basedOn w:val="a"/>
    <w:rsid w:val="00A76E81"/>
  </w:style>
  <w:style w:type="paragraph" w:styleId="af3">
    <w:name w:val="Normal (Web)"/>
    <w:basedOn w:val="a"/>
    <w:rsid w:val="00A76E81"/>
  </w:style>
  <w:style w:type="paragraph" w:customStyle="1" w:styleId="xmsonormal0">
    <w:name w:val="xmsonormal"/>
    <w:basedOn w:val="a"/>
    <w:rsid w:val="00A76E81"/>
  </w:style>
  <w:style w:type="paragraph" w:styleId="af4">
    <w:name w:val="List Paragraph"/>
    <w:basedOn w:val="a"/>
    <w:uiPriority w:val="34"/>
    <w:qFormat/>
    <w:rsid w:val="00470DBB"/>
    <w:pPr>
      <w:ind w:left="720"/>
      <w:contextualSpacing/>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2F0E0-962F-4148-8784-F6F06F7A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3062</Characters>
  <Application>Microsoft Office Word</Application>
  <DocSecurity>0</DocSecurity>
  <Lines>25</Lines>
  <Paragraphs>7</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2019-12-06T08:37:00Z</dcterms:created>
  <dcterms:modified xsi:type="dcterms:W3CDTF">2019-12-06T08:37:00Z</dcterms:modified>
</cp:coreProperties>
</file>