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1BE" w:rsidRPr="00365FF1" w:rsidRDefault="00B961BE" w:rsidP="00B961B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5F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Double-Dip Approach: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Simultaneous</w:t>
      </w:r>
      <w:r w:rsidRPr="00365F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Acquisition of the Dissolution Curves of Two Active Ingredients in a Binary Pharmaceutical </w:t>
      </w:r>
      <w:r w:rsidRPr="006369DA">
        <w:rPr>
          <w:rFonts w:ascii="Times New Roman" w:hAnsi="Times New Roman" w:cs="Times New Roman"/>
          <w:b/>
          <w:bCs/>
          <w:sz w:val="24"/>
          <w:szCs w:val="24"/>
          <w:lang w:val="en-US"/>
        </w:rPr>
        <w:t>Dosage form</w:t>
      </w:r>
      <w:r w:rsidRPr="00365F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Exploiting the Opportunities Offered by Ion Selective Electrodes</w:t>
      </w:r>
    </w:p>
    <w:p w:rsidR="00B961BE" w:rsidRPr="00365FF1" w:rsidRDefault="00B961BE" w:rsidP="00B961BE">
      <w:pPr>
        <w:pStyle w:val="05AHeading"/>
        <w:rPr>
          <w:sz w:val="24"/>
          <w:szCs w:val="24"/>
        </w:rPr>
      </w:pPr>
      <w:r w:rsidRPr="00365FF1">
        <w:rPr>
          <w:sz w:val="24"/>
          <w:szCs w:val="24"/>
        </w:rPr>
        <w:t xml:space="preserve">Dina </w:t>
      </w:r>
      <w:r>
        <w:rPr>
          <w:sz w:val="24"/>
          <w:szCs w:val="24"/>
        </w:rPr>
        <w:t>A.</w:t>
      </w:r>
      <w:r w:rsidRPr="00365FF1">
        <w:rPr>
          <w:sz w:val="24"/>
          <w:szCs w:val="24"/>
        </w:rPr>
        <w:t xml:space="preserve"> Ahmed</w:t>
      </w:r>
      <w:r>
        <w:rPr>
          <w:sz w:val="24"/>
          <w:szCs w:val="24"/>
          <w:vertAlign w:val="superscript"/>
        </w:rPr>
        <w:t>a</w:t>
      </w:r>
      <w:r w:rsidRPr="00365FF1">
        <w:rPr>
          <w:sz w:val="24"/>
          <w:szCs w:val="24"/>
        </w:rPr>
        <w:t>*,</w:t>
      </w:r>
      <w:r w:rsidRPr="00B321FF">
        <w:rPr>
          <w:sz w:val="24"/>
          <w:szCs w:val="24"/>
        </w:rPr>
        <w:t xml:space="preserve"> </w:t>
      </w:r>
      <w:r>
        <w:rPr>
          <w:sz w:val="24"/>
          <w:szCs w:val="24"/>
        </w:rPr>
        <w:t>Mohamed K.</w:t>
      </w:r>
      <w:r w:rsidRPr="00365FF1">
        <w:rPr>
          <w:sz w:val="24"/>
          <w:szCs w:val="24"/>
        </w:rPr>
        <w:t xml:space="preserve"> AbdelRahman</w:t>
      </w:r>
      <w:r>
        <w:rPr>
          <w:sz w:val="24"/>
          <w:szCs w:val="24"/>
          <w:vertAlign w:val="superscript"/>
        </w:rPr>
        <w:t>b</w:t>
      </w:r>
      <w:r w:rsidRPr="00365FF1">
        <w:rPr>
          <w:sz w:val="24"/>
          <w:szCs w:val="24"/>
        </w:rPr>
        <w:t>, Hayam Mahmoud Lotfy</w:t>
      </w:r>
      <w:r>
        <w:rPr>
          <w:sz w:val="24"/>
          <w:szCs w:val="24"/>
          <w:vertAlign w:val="superscript"/>
        </w:rPr>
        <w:t>a</w:t>
      </w:r>
      <w:r w:rsidRPr="00365FF1">
        <w:rPr>
          <w:sz w:val="24"/>
          <w:szCs w:val="24"/>
        </w:rPr>
        <w:t xml:space="preserve"> and Soheir Abdel Fattah Weshahy</w:t>
      </w:r>
      <w:r>
        <w:rPr>
          <w:sz w:val="24"/>
          <w:szCs w:val="24"/>
          <w:vertAlign w:val="superscript"/>
        </w:rPr>
        <w:t>b</w:t>
      </w:r>
    </w:p>
    <w:p w:rsidR="00B961BE" w:rsidRPr="00365FF1" w:rsidRDefault="00B961BE" w:rsidP="00B961BE">
      <w:pPr>
        <w:spacing w:after="0"/>
        <w:jc w:val="center"/>
        <w:rPr>
          <w:rFonts w:ascii="Times New Roman" w:hAnsi="Times New Roman" w:cs="Times New Roman"/>
          <w:sz w:val="24"/>
          <w:szCs w:val="24"/>
          <w:lang w:bidi="ar-EG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bidi="ar-EG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  <w:lang w:bidi="ar-EG"/>
        </w:rPr>
        <w:t xml:space="preserve"> </w:t>
      </w:r>
      <w:r w:rsidRPr="00365FF1">
        <w:rPr>
          <w:rFonts w:ascii="Times New Roman" w:hAnsi="Times New Roman" w:cs="Times New Roman"/>
          <w:sz w:val="24"/>
          <w:szCs w:val="24"/>
          <w:lang w:bidi="ar-EG"/>
        </w:rPr>
        <w:t>Pharmaceutical chemistry department, faculty of pharmaceutical science and pharmaceutical industries, Future university</w:t>
      </w:r>
      <w:r>
        <w:rPr>
          <w:rFonts w:ascii="Times New Roman" w:hAnsi="Times New Roman" w:cs="Times New Roman"/>
          <w:sz w:val="24"/>
          <w:szCs w:val="24"/>
          <w:lang w:bidi="ar-EG"/>
        </w:rPr>
        <w:t xml:space="preserve"> in Egypt</w:t>
      </w:r>
      <w:r w:rsidRPr="00365FF1">
        <w:rPr>
          <w:rFonts w:ascii="Times New Roman" w:hAnsi="Times New Roman" w:cs="Times New Roman"/>
          <w:sz w:val="24"/>
          <w:szCs w:val="24"/>
          <w:lang w:bidi="ar-EG"/>
        </w:rPr>
        <w:t>, Cairo, Egypt</w:t>
      </w:r>
    </w:p>
    <w:p w:rsidR="00B961BE" w:rsidRPr="00365FF1" w:rsidRDefault="00B961BE" w:rsidP="00B961BE">
      <w:pPr>
        <w:pStyle w:val="05AHeading"/>
        <w:ind w:left="0"/>
        <w:rPr>
          <w:b w:val="0"/>
          <w:bCs w:val="0"/>
          <w:sz w:val="24"/>
          <w:szCs w:val="24"/>
          <w:lang w:val="en-GB"/>
        </w:rPr>
      </w:pPr>
      <w:proofErr w:type="gramStart"/>
      <w:r>
        <w:rPr>
          <w:b w:val="0"/>
          <w:bCs w:val="0"/>
          <w:sz w:val="24"/>
          <w:szCs w:val="24"/>
          <w:vertAlign w:val="superscript"/>
          <w:lang w:val="en-GB"/>
        </w:rPr>
        <w:t>b</w:t>
      </w:r>
      <w:proofErr w:type="gramEnd"/>
      <w:r>
        <w:rPr>
          <w:b w:val="0"/>
          <w:bCs w:val="0"/>
          <w:sz w:val="24"/>
          <w:szCs w:val="24"/>
          <w:lang w:val="en-GB"/>
        </w:rPr>
        <w:t xml:space="preserve"> </w:t>
      </w:r>
      <w:r w:rsidRPr="00C749A0">
        <w:rPr>
          <w:rFonts w:ascii="Times New Roman" w:hAnsi="Times New Roman"/>
          <w:b w:val="0"/>
          <w:bCs w:val="0"/>
          <w:sz w:val="24"/>
          <w:szCs w:val="24"/>
          <w:lang w:val="en-GB"/>
        </w:rPr>
        <w:t>Analytical chemistry department, faculty of pharmacy, Cairo university, Cairo, Egypt</w:t>
      </w:r>
    </w:p>
    <w:p w:rsidR="00B961BE" w:rsidRPr="0072372A" w:rsidRDefault="00B961BE" w:rsidP="00B961B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961BE" w:rsidRPr="00365FF1" w:rsidRDefault="00B961BE" w:rsidP="00B961B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5FF1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Abstract:</w:t>
      </w:r>
    </w:p>
    <w:p w:rsidR="00B961BE" w:rsidRPr="00BE5231" w:rsidRDefault="00B961BE" w:rsidP="00B961BE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BE5231">
        <w:rPr>
          <w:rFonts w:ascii="Times New Roman" w:hAnsi="Times New Roman" w:cs="Times New Roman"/>
          <w:lang w:val="en-US"/>
        </w:rPr>
        <w:t>Acquisition of the dissolution profiles of more than single active ingredient in a multi-</w:t>
      </w:r>
      <w:r>
        <w:rPr>
          <w:rFonts w:ascii="Times New Roman" w:hAnsi="Times New Roman" w:cs="Times New Roman"/>
          <w:lang w:val="en-US"/>
        </w:rPr>
        <w:t>component</w:t>
      </w:r>
      <w:r w:rsidRPr="00BE5231">
        <w:rPr>
          <w:rFonts w:ascii="Times New Roman" w:hAnsi="Times New Roman" w:cs="Times New Roman"/>
          <w:lang w:val="en-US"/>
        </w:rPr>
        <w:t xml:space="preserve"> pharmaceutical formulation is dominated by utilization of the off-line spectroscopic and chromatographic methods. In this approach, a “Double-Dip” </w:t>
      </w:r>
      <w:r>
        <w:rPr>
          <w:rFonts w:ascii="Times New Roman" w:hAnsi="Times New Roman" w:cs="Times New Roman"/>
          <w:lang w:val="en-US"/>
        </w:rPr>
        <w:t xml:space="preserve">green analytical chemistry (GAC) </w:t>
      </w:r>
      <w:r w:rsidRPr="00BE5231">
        <w:rPr>
          <w:rFonts w:ascii="Times New Roman" w:hAnsi="Times New Roman" w:cs="Times New Roman"/>
          <w:lang w:val="en-US"/>
        </w:rPr>
        <w:t>approach with the ultimate goal of advancing the in-line potentiometric sensors to their most effective use for simultaneous acquisition of the dissolution curves of two active ingredients in a binary pharmaceutical dosage form</w:t>
      </w:r>
      <w:r>
        <w:rPr>
          <w:rFonts w:ascii="Times New Roman" w:hAnsi="Times New Roman" w:cs="Times New Roman"/>
          <w:lang w:val="en-US"/>
        </w:rPr>
        <w:t>, Brufen Flu</w:t>
      </w:r>
      <w:r w:rsidRPr="00BE5231">
        <w:rPr>
          <w:rFonts w:ascii="Times New Roman" w:hAnsi="Times New Roman" w:cs="Times New Roman"/>
          <w:lang w:val="en-US"/>
        </w:rPr>
        <w:t xml:space="preserve"> is adopted. For the proof of concept, two sensitive and selective sensors were developed for the simultaneous determination of the cationic Pseudoephedrine (PSE) and the anionic Ibuprofen (IBU) drugs </w:t>
      </w:r>
      <w:r>
        <w:rPr>
          <w:rFonts w:ascii="Times New Roman" w:hAnsi="Times New Roman" w:cs="Times New Roman"/>
          <w:lang w:val="en-US"/>
        </w:rPr>
        <w:t>in order to</w:t>
      </w:r>
      <w:r w:rsidRPr="00BE5231">
        <w:rPr>
          <w:rFonts w:ascii="Times New Roman" w:hAnsi="Times New Roman" w:cs="Times New Roman"/>
          <w:lang w:val="en-US"/>
        </w:rPr>
        <w:t xml:space="preserve"> monitor their dissolution profiles without sample pretreatment or derivatization. For the determination of the cationic drug (PSE), sensor I was developed using potassium tetrakis (4-chlorophenyl)borate (KTCPB) as a cation</w:t>
      </w:r>
      <w:r>
        <w:rPr>
          <w:rFonts w:ascii="Times New Roman" w:hAnsi="Times New Roman" w:cs="Times New Roman"/>
          <w:lang w:val="en-US"/>
        </w:rPr>
        <w:t>ic</w:t>
      </w:r>
      <w:r w:rsidRPr="00BE5231">
        <w:rPr>
          <w:rFonts w:ascii="Times New Roman" w:hAnsi="Times New Roman" w:cs="Times New Roman"/>
          <w:lang w:val="en-US"/>
        </w:rPr>
        <w:t xml:space="preserve"> exchanger, while sensor II was developed for the determination of the anionic IBU using </w:t>
      </w:r>
      <w:proofErr w:type="spellStart"/>
      <w:r w:rsidRPr="00BE5231">
        <w:rPr>
          <w:rFonts w:ascii="Times New Roman" w:hAnsi="Times New Roman" w:cs="Times New Roman"/>
          <w:lang w:val="en-US"/>
        </w:rPr>
        <w:t>tridodecyl</w:t>
      </w:r>
      <w:proofErr w:type="spellEnd"/>
      <w:r w:rsidRPr="00BE5231">
        <w:rPr>
          <w:rFonts w:ascii="Times New Roman" w:hAnsi="Times New Roman" w:cs="Times New Roman"/>
          <w:lang w:val="en-US"/>
        </w:rPr>
        <w:t xml:space="preserve"> methyl ammonium chloride</w:t>
      </w:r>
      <w:r>
        <w:rPr>
          <w:rFonts w:ascii="Times New Roman" w:hAnsi="Times New Roman" w:cs="Times New Roman"/>
          <w:lang w:val="en-US"/>
        </w:rPr>
        <w:t xml:space="preserve"> (TDC)</w:t>
      </w:r>
      <w:r w:rsidRPr="00BE5231">
        <w:rPr>
          <w:rFonts w:ascii="Times New Roman" w:hAnsi="Times New Roman" w:cs="Times New Roman"/>
          <w:lang w:val="en-US"/>
        </w:rPr>
        <w:t xml:space="preserve"> as an anion</w:t>
      </w:r>
      <w:r>
        <w:rPr>
          <w:rFonts w:ascii="Times New Roman" w:hAnsi="Times New Roman" w:cs="Times New Roman"/>
          <w:lang w:val="en-US"/>
        </w:rPr>
        <w:t>ic</w:t>
      </w:r>
      <w:r w:rsidRPr="00BE5231">
        <w:rPr>
          <w:rFonts w:ascii="Times New Roman" w:hAnsi="Times New Roman" w:cs="Times New Roman"/>
          <w:lang w:val="en-US"/>
        </w:rPr>
        <w:t xml:space="preserve"> exchanger using 2-nitrophenyl octyl ether (2-NPOE) as a plasticizer for both</w:t>
      </w:r>
      <w:r>
        <w:rPr>
          <w:rFonts w:ascii="Times New Roman" w:hAnsi="Times New Roman" w:cs="Times New Roman"/>
          <w:lang w:val="en-US"/>
        </w:rPr>
        <w:t xml:space="preserve"> used</w:t>
      </w:r>
      <w:r w:rsidRPr="00BE5231">
        <w:rPr>
          <w:rFonts w:ascii="Times New Roman" w:hAnsi="Times New Roman" w:cs="Times New Roman"/>
          <w:lang w:val="en-US"/>
        </w:rPr>
        <w:t xml:space="preserve"> sensors. The use of these novel sensors not only provides a way for the determination of PSE and IBU in bulk powder, in laboratory mixtures and in combined dosage form but also permit</w:t>
      </w:r>
      <w:r>
        <w:rPr>
          <w:rFonts w:ascii="Times New Roman" w:hAnsi="Times New Roman" w:cs="Times New Roman"/>
          <w:lang w:val="en-US"/>
        </w:rPr>
        <w:t>s</w:t>
      </w:r>
      <w:r w:rsidRPr="00BE5231">
        <w:rPr>
          <w:rFonts w:ascii="Times New Roman" w:hAnsi="Times New Roman" w:cs="Times New Roman"/>
          <w:lang w:val="en-US"/>
        </w:rPr>
        <w:t xml:space="preserve"> simultaneous in-line monitoring of their dissolution profiles. The advantages of the newly introduced “Double-Dip” approach are highlighted and the merits of these benign real-time analyzers (ISEs) that can deliver equivalent analytical results as HPLC and UV-spectrophotometry while significantly reducing solvent consumption/waste generation in addition to the manipulation steps are described. </w:t>
      </w:r>
    </w:p>
    <w:p w:rsidR="00B961BE" w:rsidRPr="00BE5231" w:rsidRDefault="00B961BE" w:rsidP="00B961BE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BE5231">
        <w:rPr>
          <w:rFonts w:ascii="Times New Roman" w:hAnsi="Times New Roman" w:cs="Times New Roman"/>
          <w:b/>
          <w:bCs/>
          <w:i/>
          <w:iCs/>
          <w:lang w:val="en-US"/>
        </w:rPr>
        <w:t>Keywords</w:t>
      </w:r>
      <w:r w:rsidRPr="00BE5231">
        <w:rPr>
          <w:rFonts w:ascii="Times New Roman" w:hAnsi="Times New Roman" w:cs="Times New Roman"/>
          <w:lang w:val="en-US"/>
        </w:rPr>
        <w:t>: Double-Dip</w:t>
      </w:r>
      <w:r>
        <w:rPr>
          <w:rFonts w:ascii="Times New Roman" w:hAnsi="Times New Roman" w:cs="Times New Roman"/>
          <w:lang w:val="en-US"/>
        </w:rPr>
        <w:t xml:space="preserve"> approach</w:t>
      </w:r>
      <w:r w:rsidRPr="00BE5231"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 xml:space="preserve"> green analytical chemistry;</w:t>
      </w:r>
      <w:r w:rsidRPr="00BE5231">
        <w:rPr>
          <w:rFonts w:ascii="Times New Roman" w:hAnsi="Times New Roman" w:cs="Times New Roman"/>
          <w:lang w:val="en-US"/>
        </w:rPr>
        <w:t xml:space="preserve"> dissolution</w:t>
      </w:r>
      <w:r>
        <w:rPr>
          <w:rFonts w:ascii="Times New Roman" w:hAnsi="Times New Roman" w:cs="Times New Roman"/>
          <w:lang w:val="en-US"/>
        </w:rPr>
        <w:t xml:space="preserve"> monitoring</w:t>
      </w:r>
      <w:r w:rsidRPr="00BE5231">
        <w:rPr>
          <w:rFonts w:ascii="Times New Roman" w:hAnsi="Times New Roman" w:cs="Times New Roman"/>
          <w:lang w:val="en-US"/>
        </w:rPr>
        <w:t>; in-line potentiometry; real</w:t>
      </w:r>
      <w:r>
        <w:rPr>
          <w:rFonts w:ascii="Times New Roman" w:hAnsi="Times New Roman" w:cs="Times New Roman"/>
          <w:lang w:val="en-US"/>
        </w:rPr>
        <w:t xml:space="preserve">-time analyzer; pseudoephedrine; </w:t>
      </w:r>
      <w:r w:rsidRPr="00BE5231">
        <w:rPr>
          <w:rFonts w:ascii="Times New Roman" w:hAnsi="Times New Roman" w:cs="Times New Roman"/>
          <w:lang w:val="en-US"/>
        </w:rPr>
        <w:t>ibuprofen</w:t>
      </w:r>
    </w:p>
    <w:p w:rsidR="00B961BE" w:rsidRPr="00BE5231" w:rsidRDefault="00B961BE" w:rsidP="00D50EB8">
      <w:pPr>
        <w:tabs>
          <w:tab w:val="left" w:pos="0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E5231">
        <w:rPr>
          <w:rFonts w:ascii="Times New Roman" w:hAnsi="Times New Roman" w:cs="Times New Roman"/>
          <w:sz w:val="20"/>
          <w:szCs w:val="20"/>
        </w:rPr>
        <w:t>*</w:t>
      </w:r>
      <w:r w:rsidRPr="00BE5231">
        <w:rPr>
          <w:rFonts w:ascii="Times New Roman" w:hAnsi="Times New Roman" w:cs="Times New Roman"/>
          <w:sz w:val="20"/>
          <w:szCs w:val="20"/>
          <w:u w:val="single"/>
        </w:rPr>
        <w:t>Corresponding author</w:t>
      </w:r>
      <w:r w:rsidRPr="00BE5231">
        <w:rPr>
          <w:rFonts w:ascii="Times New Roman" w:hAnsi="Times New Roman" w:cs="Times New Roman"/>
          <w:sz w:val="20"/>
          <w:szCs w:val="20"/>
        </w:rPr>
        <w:t xml:space="preserve">:   Dina Abbas Ahmed Mostafa      </w:t>
      </w:r>
      <w:r w:rsidRPr="00BE5231">
        <w:rPr>
          <w:rFonts w:ascii="Times New Roman" w:hAnsi="Times New Roman" w:cs="Times New Roman"/>
          <w:sz w:val="20"/>
          <w:szCs w:val="20"/>
          <w:u w:val="single"/>
        </w:rPr>
        <w:t>Email</w:t>
      </w:r>
      <w:r w:rsidRPr="00BE5231">
        <w:rPr>
          <w:rFonts w:ascii="Times New Roman" w:hAnsi="Times New Roman" w:cs="Times New Roman"/>
          <w:sz w:val="20"/>
          <w:szCs w:val="20"/>
        </w:rPr>
        <w:t xml:space="preserve">: </w:t>
      </w:r>
      <w:r w:rsidR="00D50EB8">
        <w:rPr>
          <w:rFonts w:ascii="Times New Roman" w:hAnsi="Times New Roman" w:cs="Times New Roman"/>
          <w:sz w:val="20"/>
          <w:szCs w:val="20"/>
        </w:rPr>
        <w:t>Dina.abbass@fue.edu.eg</w:t>
      </w:r>
      <w:bookmarkStart w:id="0" w:name="_GoBack"/>
      <w:bookmarkEnd w:id="0"/>
      <w:r w:rsidR="00D50EB8">
        <w:fldChar w:fldCharType="begin"/>
      </w:r>
      <w:r w:rsidR="00D50EB8">
        <w:instrText xml:space="preserve"> HYPERLINK "mailto:dinaabbas1@hotmail.com" </w:instrText>
      </w:r>
      <w:r w:rsidR="00D50EB8">
        <w:fldChar w:fldCharType="separate"/>
      </w:r>
      <w:r w:rsidR="00D50EB8">
        <w:rPr>
          <w:rStyle w:val="Hyperlink"/>
          <w:rFonts w:ascii="Times New Roman" w:hAnsi="Times New Roman"/>
          <w:sz w:val="20"/>
          <w:szCs w:val="20"/>
        </w:rPr>
        <w:fldChar w:fldCharType="end"/>
      </w:r>
    </w:p>
    <w:p w:rsidR="00856B71" w:rsidRDefault="00856B71"/>
    <w:sectPr w:rsidR="00856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1BE"/>
    <w:rsid w:val="00856B71"/>
    <w:rsid w:val="00B961BE"/>
    <w:rsid w:val="00D5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63D405-76A8-4E70-93CF-EAED9981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1BE"/>
    <w:pPr>
      <w:spacing w:after="200" w:line="276" w:lineRule="auto"/>
    </w:pPr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B961BE"/>
    <w:rPr>
      <w:rFonts w:cs="Times New Roman"/>
      <w:color w:val="0000FF"/>
      <w:u w:val="single"/>
    </w:rPr>
  </w:style>
  <w:style w:type="paragraph" w:customStyle="1" w:styleId="05AHeading">
    <w:name w:val="05 A Heading"/>
    <w:autoRedefine/>
    <w:uiPriority w:val="99"/>
    <w:rsid w:val="00B961BE"/>
    <w:pPr>
      <w:autoSpaceDE w:val="0"/>
      <w:autoSpaceDN w:val="0"/>
      <w:spacing w:before="240" w:after="0" w:line="360" w:lineRule="auto"/>
      <w:ind w:left="284"/>
      <w:jc w:val="center"/>
    </w:pPr>
    <w:rPr>
      <w:rFonts w:ascii="Calibri" w:eastAsia="Calibri" w:hAnsi="Calibri" w:cs="Times New Roman"/>
      <w:b/>
      <w:bCs/>
      <w:sz w:val="28"/>
      <w:szCs w:val="28"/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2018-05-11T15:12:00Z</dcterms:created>
  <dcterms:modified xsi:type="dcterms:W3CDTF">2018-05-11T15:19:00Z</dcterms:modified>
</cp:coreProperties>
</file>