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jc w:val="both"/>
        <w:rPr>
          <w:rFonts w:ascii="Arial" w:cs="Arial" w:hAnsi="Arial"/>
          <w:b/>
          <w:sz w:val="20"/>
          <w:szCs w:val="20"/>
        </w:rPr>
      </w:pPr>
      <w:r>
        <w:rPr>
          <w:rFonts w:ascii="Arial" w:cs="Arial" w:hAnsi="Arial"/>
          <w:b/>
          <w:sz w:val="20"/>
          <w:szCs w:val="20"/>
        </w:rPr>
        <w:t>Effects ofMicrobiological andPhysicochemical processes on the Quality of Complementary foods Based on Maize (</w:t>
      </w:r>
      <w:r>
        <w:rPr>
          <w:rFonts w:ascii="Arial" w:cs="Arial" w:hAnsi="Arial"/>
          <w:b/>
          <w:i/>
          <w:sz w:val="20"/>
          <w:szCs w:val="20"/>
        </w:rPr>
        <w:t>Zeamays</w:t>
      </w:r>
      <w:r>
        <w:rPr>
          <w:rFonts w:ascii="Arial" w:cs="Arial" w:hAnsi="Arial"/>
          <w:b/>
          <w:sz w:val="20"/>
          <w:szCs w:val="20"/>
        </w:rPr>
        <w:t>) fortification with Bambaragroundnut (</w:t>
      </w:r>
      <w:r>
        <w:rPr>
          <w:rFonts w:ascii="Arial" w:cs="Arial" w:hAnsi="Arial"/>
          <w:b/>
          <w:i/>
          <w:sz w:val="20"/>
          <w:szCs w:val="20"/>
        </w:rPr>
        <w:t>Vignasubterranea)</w:t>
      </w:r>
    </w:p>
    <w:p>
      <w:pPr>
        <w:pStyle w:val="style0"/>
        <w:jc w:val="both"/>
        <w:rPr>
          <w:rFonts w:ascii="Arial" w:cs="Arial" w:hAnsi="Arial"/>
          <w:sz w:val="20"/>
          <w:szCs w:val="20"/>
        </w:rPr>
      </w:pPr>
      <w:r>
        <w:rPr>
          <w:rFonts w:ascii="Arial" w:cs="Arial" w:hAnsi="Arial"/>
          <w:sz w:val="20"/>
          <w:szCs w:val="20"/>
        </w:rPr>
        <w:t xml:space="preserve">TI Mbata </w:t>
      </w:r>
    </w:p>
    <w:p>
      <w:pPr>
        <w:pStyle w:val="style0"/>
        <w:jc w:val="both"/>
        <w:rPr>
          <w:rFonts w:ascii="Arial" w:cs="Arial" w:hAnsi="Arial"/>
          <w:sz w:val="20"/>
          <w:szCs w:val="20"/>
        </w:rPr>
      </w:pPr>
      <w:r>
        <w:rPr>
          <w:rFonts w:ascii="Arial" w:cs="Arial" w:hAnsi="Arial"/>
          <w:sz w:val="20"/>
          <w:szCs w:val="20"/>
        </w:rPr>
        <w:t>Department of Microbiology</w:t>
      </w:r>
    </w:p>
    <w:p>
      <w:pPr>
        <w:pStyle w:val="style0"/>
        <w:jc w:val="both"/>
        <w:rPr>
          <w:rFonts w:ascii="Arial" w:cs="Arial" w:hAnsi="Arial"/>
          <w:sz w:val="20"/>
          <w:szCs w:val="20"/>
        </w:rPr>
      </w:pPr>
      <w:r>
        <w:rPr>
          <w:rFonts w:ascii="Arial" w:cs="Arial" w:hAnsi="Arial"/>
          <w:sz w:val="20"/>
          <w:szCs w:val="20"/>
        </w:rPr>
        <w:t xml:space="preserve">Federal Polytechnic Nekede,Pmb 1036Owerri, </w:t>
      </w:r>
      <w:r>
        <w:rPr>
          <w:rFonts w:ascii="Arial" w:cs="Arial" w:hAnsi="Arial"/>
          <w:sz w:val="20"/>
          <w:szCs w:val="20"/>
        </w:rPr>
        <w:t>Nigeria</w:t>
      </w:r>
    </w:p>
    <w:p>
      <w:pPr>
        <w:pStyle w:val="style0"/>
        <w:jc w:val="both"/>
        <w:rPr>
          <w:rFonts w:ascii="Arial" w:cs="Arial" w:hAnsi="Arial"/>
          <w:sz w:val="20"/>
          <w:szCs w:val="20"/>
        </w:rPr>
      </w:pPr>
      <w:r>
        <w:rPr>
          <w:rFonts w:ascii="Arial" w:cs="Arial" w:hAnsi="Arial"/>
          <w:sz w:val="20"/>
          <w:szCs w:val="20"/>
        </w:rPr>
        <w:t xml:space="preserve">Email :proftheodore@gmail.com; theodore.mbata@fpno.edu.ng </w:t>
      </w:r>
    </w:p>
    <w:p>
      <w:pPr>
        <w:pStyle w:val="style0"/>
        <w:jc w:val="both"/>
        <w:rPr>
          <w:rFonts w:ascii="Arial" w:cs="Arial" w:hAnsi="Arial"/>
          <w:sz w:val="20"/>
          <w:szCs w:val="20"/>
        </w:rPr>
      </w:pPr>
    </w:p>
    <w:p>
      <w:pPr>
        <w:pStyle w:val="style0"/>
        <w:jc w:val="both"/>
        <w:rPr>
          <w:rFonts w:ascii="Arial" w:cs="Arial" w:hAnsi="Arial"/>
          <w:sz w:val="20"/>
          <w:szCs w:val="20"/>
        </w:rPr>
      </w:pPr>
    </w:p>
    <w:p>
      <w:pPr>
        <w:pStyle w:val="style0"/>
        <w:jc w:val="both"/>
        <w:rPr>
          <w:rFonts w:ascii="Arial" w:cs="Arial" w:hAnsi="Arial"/>
          <w:b/>
          <w:sz w:val="24"/>
          <w:szCs w:val="24"/>
        </w:rPr>
      </w:pPr>
      <w:r>
        <w:rPr>
          <w:rFonts w:ascii="Arial" w:cs="Arial" w:hAnsi="Arial"/>
          <w:b/>
          <w:sz w:val="24"/>
          <w:szCs w:val="24"/>
        </w:rPr>
        <w:t>Abstract</w:t>
      </w: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Background</w:t>
      </w:r>
      <w:r>
        <w:rPr>
          <w:rFonts w:ascii="Arial" w:cs="Arial" w:hAnsi="Arial"/>
          <w:bCs/>
          <w:sz w:val="20"/>
          <w:szCs w:val="20"/>
        </w:rPr>
        <w:t>: The study was aim at formulating complementary foods based on maize and bambara groundnut with a view to reducing malnutrition in low income families.</w:t>
      </w:r>
      <w:r>
        <w:rPr>
          <w:sz w:val="23"/>
          <w:szCs w:val="23"/>
        </w:rPr>
        <w:t>Protein-energy m</w:t>
      </w:r>
      <w:r>
        <w:rPr>
          <w:sz w:val="23"/>
          <w:szCs w:val="23"/>
        </w:rPr>
        <w:t xml:space="preserve">alnutrition is a major health challenge attributed to the inappropriate complementary feeding practices, low nutritional quality of traditional complementary foods and high cost of quality protein-based complementary foods. </w:t>
      </w: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Methods</w:t>
      </w:r>
      <w:r>
        <w:rPr>
          <w:rFonts w:ascii="Arial" w:cs="Arial" w:hAnsi="Arial"/>
          <w:bCs/>
          <w:sz w:val="20"/>
          <w:szCs w:val="20"/>
        </w:rPr>
        <w:t xml:space="preserve">: The blends 70% maize, </w:t>
      </w:r>
      <w:r>
        <w:rPr>
          <w:rFonts w:ascii="Arial" w:cs="Arial" w:hAnsi="Arial"/>
          <w:bCs/>
          <w:sz w:val="20"/>
          <w:szCs w:val="20"/>
        </w:rPr>
        <w:t xml:space="preserve">30% bambara groundnut were evaluated for proximate analyses, minerals, amino acids profile, and antinutritional factors, using proprietary formula (‘Nutrend’) as standard. </w:t>
      </w:r>
      <w:r>
        <w:rPr>
          <w:rFonts w:ascii="Arial" w:cs="Arial" w:eastAsia="Times New Roman" w:hAnsi="Arial"/>
          <w:sz w:val="20"/>
          <w:szCs w:val="20"/>
        </w:rPr>
        <w:t xml:space="preserve">Antinutritional factors, amino acids, </w:t>
      </w:r>
      <w:r>
        <w:rPr>
          <w:rFonts w:ascii="Arial" w:cs="Arial" w:hAnsi="Arial"/>
          <w:bCs/>
          <w:sz w:val="20"/>
          <w:szCs w:val="20"/>
        </w:rPr>
        <w:t>microbiological properties and sensory attribu</w:t>
      </w:r>
      <w:r>
        <w:rPr>
          <w:rFonts w:ascii="Arial" w:cs="Arial" w:hAnsi="Arial"/>
          <w:bCs/>
          <w:sz w:val="20"/>
          <w:szCs w:val="20"/>
        </w:rPr>
        <w:t xml:space="preserve">tes were determined using standard methods. </w:t>
      </w: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Results</w:t>
      </w:r>
      <w:r>
        <w:rPr>
          <w:rFonts w:ascii="Arial" w:cs="Arial" w:hAnsi="Arial"/>
          <w:bCs/>
          <w:sz w:val="20"/>
          <w:szCs w:val="20"/>
        </w:rPr>
        <w:t xml:space="preserve">;  For Protein, the results were </w:t>
      </w:r>
      <w:r>
        <w:rPr>
          <w:rFonts w:ascii="Arial" w:cs="Arial" w:hAnsi="Arial"/>
          <w:sz w:val="20"/>
          <w:szCs w:val="20"/>
        </w:rPr>
        <w:t>15.0%</w:t>
      </w:r>
      <w:r>
        <w:rPr>
          <w:rFonts w:ascii="Arial" w:cs="Arial" w:hAnsi="Arial"/>
          <w:bCs/>
          <w:sz w:val="20"/>
          <w:szCs w:val="20"/>
        </w:rPr>
        <w:t xml:space="preserve"> for roasted bambara groundnut maize germinated flour (RBMGF),  13.80%  for cooked bambara groundnut maize germinated flour (CBMGF), 15.18% for soaked bambara groundn</w:t>
      </w:r>
      <w:r>
        <w:rPr>
          <w:rFonts w:ascii="Arial" w:cs="Arial" w:hAnsi="Arial"/>
          <w:bCs/>
          <w:sz w:val="20"/>
          <w:szCs w:val="20"/>
        </w:rPr>
        <w:t xml:space="preserve">ut maize germinated flour (SBMGF) ; values for maize flour and nutrend had 10.4% and 23.21% respectively. With respect to energy value, RBMGF, CBMGF, SBMGF, maize flour and nutrend had </w:t>
      </w:r>
      <w:r>
        <w:rPr>
          <w:rFonts w:ascii="Arial" w:cs="Arial" w:hAnsi="Arial"/>
          <w:sz w:val="20"/>
          <w:szCs w:val="20"/>
        </w:rPr>
        <w:t xml:space="preserve">494.9, 327.58, 356.49, 366.8 and 467.2kcal respectively. </w:t>
      </w:r>
      <w:r>
        <w:rPr>
          <w:rFonts w:ascii="Arial" w:cs="Arial" w:hAnsi="Arial"/>
          <w:bCs/>
          <w:sz w:val="20"/>
          <w:szCs w:val="20"/>
        </w:rPr>
        <w:t>The percentage</w:t>
      </w:r>
      <w:r>
        <w:rPr>
          <w:rFonts w:ascii="Arial" w:cs="Arial" w:hAnsi="Arial"/>
          <w:bCs/>
          <w:sz w:val="20"/>
          <w:szCs w:val="20"/>
        </w:rPr>
        <w:t xml:space="preserve">s of total essential amino acids in the composition of the blends were </w:t>
      </w:r>
      <w:r>
        <w:rPr>
          <w:rFonts w:ascii="Arial" w:cs="Arial" w:hAnsi="Arial"/>
          <w:sz w:val="20"/>
          <w:szCs w:val="20"/>
        </w:rPr>
        <w:t xml:space="preserve">36.9%, 40.7% and 38.9% for CBMGF, SBMGF and RBMGF, respectively, non-essential amino acids contents were63.1%, 59.3% and 61.1% for CBMGF, SBMGF and RBMGF respectively. </w:t>
      </w:r>
      <w:r>
        <w:rPr>
          <w:rFonts w:ascii="Arial" w:cs="Arial" w:hAnsi="Arial"/>
          <w:bCs/>
          <w:sz w:val="20"/>
          <w:szCs w:val="20"/>
        </w:rPr>
        <w:t>The rats fed with</w:t>
      </w:r>
      <w:r>
        <w:rPr>
          <w:rFonts w:ascii="Arial" w:cs="Arial" w:hAnsi="Arial"/>
          <w:bCs/>
          <w:sz w:val="20"/>
          <w:szCs w:val="20"/>
        </w:rPr>
        <w:t xml:space="preserve"> the control diet exhibited better growth performance such as feed intake (1527g) and body weight gain (93.8g).  For the microbial status, microflora gradually changed from gram negative enteric bacteria, molds, lactic acid bacteria and yeast to be dominat</w:t>
      </w:r>
      <w:r>
        <w:rPr>
          <w:rFonts w:ascii="Arial" w:cs="Arial" w:hAnsi="Arial"/>
          <w:bCs/>
          <w:sz w:val="20"/>
          <w:szCs w:val="20"/>
        </w:rPr>
        <w:t xml:space="preserve">ed by gram positive </w:t>
      </w:r>
      <w:r>
        <w:rPr>
          <w:rFonts w:ascii="Arial" w:cs="Arial" w:hAnsi="Arial"/>
          <w:bCs/>
          <w:sz w:val="20"/>
          <w:szCs w:val="20"/>
        </w:rPr>
        <w:t xml:space="preserve">lactic acid bacteria (LAB) and yeasts. Yeasts and LAB growth counts in the complementary food varied between 4.44 and 7.36 log cfu/ml. Organoleptic evaluation revealed that the foods were well accepted. </w:t>
      </w: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Conclusion</w:t>
      </w:r>
      <w:r>
        <w:rPr>
          <w:rFonts w:ascii="Arial" w:cs="Arial" w:hAnsi="Arial"/>
          <w:bCs/>
          <w:sz w:val="20"/>
          <w:szCs w:val="20"/>
        </w:rPr>
        <w:t>:</w:t>
      </w:r>
      <w:r>
        <w:rPr>
          <w:rFonts w:ascii="Arial" w:cs="Arial" w:hAnsi="Arial"/>
          <w:bCs/>
          <w:sz w:val="20"/>
          <w:szCs w:val="20"/>
        </w:rPr>
        <w:tab/>
      </w:r>
      <w:r>
        <w:rPr>
          <w:rFonts w:ascii="Arial" w:cs="Arial" w:hAnsi="Arial"/>
          <w:bCs/>
          <w:sz w:val="20"/>
          <w:szCs w:val="20"/>
        </w:rPr>
        <w:t>Based on the finding</w:t>
      </w:r>
      <w:r>
        <w:rPr>
          <w:rFonts w:ascii="Arial" w:cs="Arial" w:hAnsi="Arial"/>
          <w:bCs/>
          <w:sz w:val="20"/>
          <w:szCs w:val="20"/>
        </w:rPr>
        <w:t>s the application of bambara groundnut fortification to traditional foods can promote the nutritional quality of African maize - based traditional foods with acceptable rheological and cooking qualities.</w:t>
      </w:r>
    </w:p>
    <w:p>
      <w:pPr>
        <w:pStyle w:val="style0"/>
        <w:spacing w:lineRule="auto" w:line="480"/>
        <w:jc w:val="both"/>
        <w:rPr>
          <w:rFonts w:ascii="Arial" w:cs="Arial" w:hAnsi="Arial"/>
          <w:sz w:val="20"/>
          <w:szCs w:val="20"/>
        </w:rPr>
      </w:pPr>
      <w:r>
        <w:rPr>
          <w:rFonts w:ascii="Arial" w:cs="Arial" w:hAnsi="Arial"/>
          <w:b/>
          <w:sz w:val="20"/>
          <w:szCs w:val="20"/>
        </w:rPr>
        <w:t>Key  words : Complementary food; fortification;</w:t>
      </w:r>
      <w:r>
        <w:rPr>
          <w:rFonts w:ascii="Arial" w:cs="Arial" w:hAnsi="Arial"/>
          <w:sz w:val="20"/>
          <w:szCs w:val="20"/>
        </w:rPr>
        <w:t>maize</w:t>
      </w:r>
      <w:r>
        <w:rPr>
          <w:rFonts w:ascii="Arial" w:cs="Arial" w:hAnsi="Arial"/>
          <w:sz w:val="20"/>
          <w:szCs w:val="20"/>
        </w:rPr>
        <w:t xml:space="preserve"> fermentation;Bambaragroundnut</w:t>
      </w:r>
    </w:p>
    <w:sectPr>
      <w:headerReference w:type="default" r:id="rId2"/>
      <w:foot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00007843" w:usb2="00000001" w:usb3="00000000" w:csb0="000001FF" w:csb1="00000000"/>
  </w:font>
  <w:font w:name="Arial">
    <w:altName w:val="Arial"/>
    <w:panose1 w:val="020b0604020002020204"/>
    <w:charset w:val="00"/>
    <w:family w:val="swiss"/>
    <w:pitch w:val="variable"/>
    <w:sig w:usb0="E0002AFF" w:usb1="00007843" w:usb2="00000001"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62"/>
    <w:link w:val="style4097"/>
    <w:qFormat/>
    <w:uiPriority w:val="99"/>
    <w:pPr>
      <w:spacing w:after="0" w:lineRule="auto" w:line="240"/>
      <w:jc w:val="center"/>
    </w:pPr>
    <w:rPr>
      <w:rFonts w:ascii="Times New Roman" w:cs="Times New Roman" w:eastAsia="Times New Roman" w:hAnsi="Times New Roman"/>
      <w:b/>
      <w:bCs/>
      <w:sz w:val="26"/>
      <w:szCs w:val="26"/>
    </w:rPr>
  </w:style>
  <w:style w:type="character" w:customStyle="1" w:styleId="style4097">
    <w:name w:val="Title Char_ec82142b-cd8a-4466-ae4a-09ceec338fb7"/>
    <w:basedOn w:val="style65"/>
    <w:next w:val="style4097"/>
    <w:link w:val="style62"/>
    <w:uiPriority w:val="99"/>
    <w:rPr>
      <w:rFonts w:ascii="Times New Roman" w:cs="Times New Roman" w:eastAsia="Times New Roman" w:hAnsi="Times New Roman"/>
      <w:b/>
      <w:bCs/>
      <w:sz w:val="26"/>
      <w:szCs w:val="26"/>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footer" Target="foot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343</Words>
  <Characters>2233</Characters>
  <Application>WPS Office</Application>
  <DocSecurity>0</DocSecurity>
  <Paragraphs>17</Paragraphs>
  <ScaleCrop>false</ScaleCrop>
  <LinksUpToDate>false</LinksUpToDate>
  <CharactersWithSpaces>2575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2018-06-30T19:43:36Z</dcterms:created>
  <dc:creator>MY</dc:creator>
  <lastModifiedBy>TECNO K7</lastModifiedBy>
  <dcterms:modified xsi:type="dcterms:W3CDTF">2018-06-30T19:43:36Z</dcterms:modified>
  <revision>2</revision>
</coreProperties>
</file>

<file path=docProps/custom.xml><?xml version="1.0" encoding="utf-8"?>
<Properties xmlns="http://schemas.openxmlformats.org/officeDocument/2006/custom-properties" xmlns:vt="http://schemas.openxmlformats.org/officeDocument/2006/docPropsVTypes"/>
</file>