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rFonts w:cs="Arial" w:ascii="Arial" w:hAnsi="Arial"/>
          <w:b/>
          <w:sz w:val="24"/>
          <w:szCs w:val="24"/>
          <w:lang w:val="es-ES"/>
        </w:rPr>
        <w:t xml:space="preserve">Cristina Lopez – Uruguay - </w:t>
      </w:r>
      <w:r>
        <w:rPr>
          <w:rFonts w:cs="Arial" w:ascii="Arial" w:hAnsi="Arial"/>
          <w:b/>
          <w:sz w:val="24"/>
          <w:szCs w:val="24"/>
          <w:lang w:val="es-ES"/>
        </w:rPr>
        <w:t xml:space="preserve">Recent Publications </w:t>
      </w:r>
    </w:p>
    <w:p>
      <w:pPr>
        <w:pStyle w:val="ListParagraph"/>
        <w:numPr>
          <w:ilvl w:val="0"/>
          <w:numId w:val="1"/>
        </w:numPr>
        <w:rPr/>
      </w:pPr>
      <w:r>
        <w:rPr>
          <w:rFonts w:cs="Arial" w:ascii="Arial" w:hAnsi="Arial"/>
          <w:sz w:val="24"/>
          <w:szCs w:val="24"/>
          <w:lang w:val="es-ES"/>
        </w:rPr>
        <w:t xml:space="preserve">Correa D. Fano P. </w:t>
      </w:r>
      <w:r>
        <w:rPr>
          <w:rFonts w:cs="Arial" w:ascii="Arial" w:hAnsi="Arial"/>
          <w:b/>
          <w:bCs/>
          <w:sz w:val="24"/>
          <w:szCs w:val="24"/>
          <w:lang w:val="es-ES"/>
        </w:rPr>
        <w:t xml:space="preserve">López C. </w:t>
      </w:r>
      <w:r>
        <w:rPr>
          <w:rFonts w:cs="Arial" w:ascii="Arial" w:hAnsi="Arial"/>
          <w:b w:val="false"/>
          <w:bCs w:val="false"/>
          <w:sz w:val="24"/>
          <w:szCs w:val="24"/>
          <w:lang w:val="es-ES"/>
        </w:rPr>
        <w:t xml:space="preserve">Ramírez P. Molins R. Herrman T (2014) </w:t>
      </w:r>
      <w:r>
        <w:rPr>
          <w:rFonts w:cs="Arial" w:ascii="Arial" w:hAnsi="Arial"/>
          <w:sz w:val="24"/>
          <w:szCs w:val="24"/>
          <w:lang w:val="es-ES"/>
        </w:rPr>
        <w:t xml:space="preserve">Manual </w:t>
      </w:r>
      <w:bookmarkStart w:id="0" w:name="_GoBack"/>
      <w:bookmarkEnd w:id="0"/>
      <w:r>
        <w:rPr>
          <w:rFonts w:cs="Arial" w:ascii="Arial" w:hAnsi="Arial"/>
          <w:sz w:val="24"/>
          <w:szCs w:val="24"/>
          <w:lang w:val="es-ES"/>
        </w:rPr>
        <w:t>of Good Practices for Food or Feed Recalls</w:t>
      </w:r>
    </w:p>
    <w:p>
      <w:pPr>
        <w:pStyle w:val="ListParagraph"/>
        <w:numPr>
          <w:ilvl w:val="0"/>
          <w:numId w:val="0"/>
        </w:numPr>
        <w:ind w:left="720" w:hanging="0"/>
        <w:rPr/>
      </w:pPr>
      <w:r>
        <w:rPr>
          <w:rFonts w:cs="Arial" w:ascii="Arial" w:hAnsi="Arial"/>
          <w:sz w:val="24"/>
          <w:szCs w:val="24"/>
          <w:lang w:val="es-ES"/>
        </w:rPr>
        <w:t xml:space="preserve">Office of the Texas State Chemist and Texas A&amp;M Agrilife Research </w:t>
      </w:r>
    </w:p>
    <w:p>
      <w:pPr>
        <w:pStyle w:val="ListParagraph"/>
        <w:numPr>
          <w:ilvl w:val="0"/>
          <w:numId w:val="0"/>
        </w:numPr>
        <w:ind w:left="720" w:hanging="0"/>
        <w:rPr/>
      </w:pPr>
      <w:r>
        <w:rPr>
          <w:rFonts w:cs="Arial" w:ascii="Arial" w:hAnsi="Arial"/>
          <w:sz w:val="24"/>
          <w:szCs w:val="24"/>
          <w:lang w:val="es-ES"/>
        </w:rPr>
        <w:t>International Journal of Regulatory Science Vol 2 – No.1 - USA</w:t>
      </w:r>
    </w:p>
    <w:p>
      <w:pPr>
        <w:pStyle w:val="ListParagraph"/>
        <w:numPr>
          <w:ilvl w:val="0"/>
          <w:numId w:val="1"/>
        </w:numPr>
        <w:rPr/>
      </w:pPr>
      <w:r>
        <w:rPr>
          <w:rFonts w:cs="Arial" w:ascii="Arial" w:hAnsi="Arial"/>
          <w:sz w:val="24"/>
          <w:szCs w:val="24"/>
          <w:lang w:val="es-ES"/>
        </w:rPr>
        <w:t xml:space="preserve">de los Santos R. Aldrovandi A. </w:t>
      </w:r>
      <w:r>
        <w:rPr>
          <w:rFonts w:cs="Arial" w:ascii="Arial" w:hAnsi="Arial"/>
          <w:b/>
          <w:bCs/>
          <w:sz w:val="24"/>
          <w:szCs w:val="24"/>
          <w:lang w:val="es-ES"/>
        </w:rPr>
        <w:t xml:space="preserve">López C. </w:t>
      </w:r>
      <w:r>
        <w:rPr>
          <w:rFonts w:cs="Arial" w:ascii="Arial" w:hAnsi="Arial"/>
          <w:b w:val="false"/>
          <w:bCs w:val="false"/>
          <w:sz w:val="24"/>
          <w:szCs w:val="24"/>
          <w:lang w:val="es-ES"/>
        </w:rPr>
        <w:t xml:space="preserve">Hirigoyen D. (2017) Susceptibilidad antibiótica y capacidad de producción de biofilms de </w:t>
      </w:r>
      <w:r>
        <w:rPr>
          <w:rFonts w:cs="Arial" w:ascii="Arial" w:hAnsi="Arial"/>
          <w:b w:val="false"/>
          <w:bCs w:val="false"/>
          <w:i/>
          <w:iCs/>
          <w:sz w:val="24"/>
          <w:szCs w:val="24"/>
          <w:lang w:val="es-ES"/>
        </w:rPr>
        <w:t>S. aureus</w:t>
      </w:r>
      <w:r>
        <w:rPr>
          <w:rFonts w:cs="Arial" w:ascii="Arial" w:hAnsi="Arial"/>
          <w:b w:val="false"/>
          <w:bCs w:val="false"/>
          <w:i w:val="false"/>
          <w:iCs w:val="false"/>
          <w:sz w:val="24"/>
          <w:szCs w:val="24"/>
          <w:lang w:val="es-ES"/>
        </w:rPr>
        <w:t xml:space="preserve"> aislados de rellenos para pastas y manos de operarios – Carnes &amp; Alimentos Año 17 – No.59 – Marzo 2017 (24-29) ISSN 1510-3870</w:t>
      </w:r>
    </w:p>
    <w:p>
      <w:pPr>
        <w:pStyle w:val="ListParagraph"/>
        <w:numPr>
          <w:ilvl w:val="0"/>
          <w:numId w:val="0"/>
        </w:numPr>
        <w:ind w:left="720" w:hanging="0"/>
        <w:rPr/>
      </w:pPr>
      <w:r>
        <w:rPr>
          <w:rFonts w:cs="Arial" w:ascii="Arial" w:hAnsi="Arial"/>
          <w:b w:val="false"/>
          <w:bCs w:val="false"/>
          <w:i w:val="false"/>
          <w:iCs w:val="false"/>
          <w:sz w:val="24"/>
          <w:szCs w:val="24"/>
          <w:lang w:val="es-ES"/>
        </w:rPr>
        <w:t xml:space="preserve">Uruguay </w:t>
      </w:r>
    </w:p>
    <w:p>
      <w:pPr>
        <w:pStyle w:val="ListParagraph"/>
        <w:numPr>
          <w:ilvl w:val="0"/>
          <w:numId w:val="1"/>
        </w:numPr>
        <w:rPr/>
      </w:pPr>
      <w:r>
        <w:rPr>
          <w:rFonts w:cs="Arial" w:ascii="Arial" w:hAnsi="Arial"/>
          <w:b/>
          <w:sz w:val="24"/>
          <w:szCs w:val="24"/>
          <w:lang w:val="es-ES"/>
        </w:rPr>
        <w:t xml:space="preserve">López C. </w:t>
      </w:r>
      <w:r>
        <w:rPr>
          <w:rFonts w:cs="Arial" w:ascii="Arial" w:hAnsi="Arial"/>
          <w:sz w:val="24"/>
          <w:szCs w:val="24"/>
          <w:lang w:val="es-ES"/>
        </w:rPr>
        <w:t>(2017) Historia Industria Cárnica Uruguaya – Carnes &amp; Alimentos Año 17 -No.59 – Marzo 2017 – (28-30) ISSN 1510-3870</w:t>
      </w:r>
    </w:p>
    <w:p>
      <w:pPr>
        <w:pStyle w:val="ListParagraph"/>
        <w:numPr>
          <w:ilvl w:val="0"/>
          <w:numId w:val="0"/>
        </w:numPr>
        <w:ind w:left="720" w:hanging="0"/>
        <w:rPr/>
      </w:pPr>
      <w:r>
        <w:rPr>
          <w:rFonts w:cs="Arial" w:ascii="Arial" w:hAnsi="Arial"/>
          <w:sz w:val="24"/>
          <w:szCs w:val="24"/>
          <w:lang w:val="es-ES"/>
        </w:rPr>
        <w:t xml:space="preserve">Uruguay </w:t>
      </w:r>
    </w:p>
    <w:p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  <w:lang w:val="es-ES"/>
        </w:rPr>
      </w:pPr>
      <w:r>
        <w:rPr>
          <w:rFonts w:cs="Arial" w:ascii="Arial" w:hAnsi="Arial"/>
          <w:sz w:val="24"/>
          <w:szCs w:val="24"/>
          <w:lang w:val="es-ES"/>
        </w:rPr>
        <w:t xml:space="preserve">Bertacchi M. </w:t>
      </w:r>
      <w:r>
        <w:rPr>
          <w:rFonts w:cs="Arial" w:ascii="Arial" w:hAnsi="Arial"/>
          <w:b/>
          <w:sz w:val="24"/>
          <w:szCs w:val="24"/>
          <w:lang w:val="es-ES"/>
        </w:rPr>
        <w:t xml:space="preserve">López C. </w:t>
      </w:r>
      <w:r>
        <w:rPr>
          <w:rFonts w:cs="Arial" w:ascii="Arial" w:hAnsi="Arial"/>
          <w:sz w:val="24"/>
          <w:szCs w:val="24"/>
          <w:lang w:val="es-ES"/>
        </w:rPr>
        <w:t>Pagán M. Gil A (2017) Descripción e incidencia de coloraciones anómalas en tripas bovinas saladas prontas para su comercialización</w:t>
      </w:r>
    </w:p>
    <w:p>
      <w:pPr>
        <w:pStyle w:val="ListParagraph"/>
        <w:rPr/>
      </w:pPr>
      <w:r>
        <w:rPr>
          <w:rFonts w:cs="Arial" w:ascii="Arial" w:hAnsi="Arial"/>
          <w:sz w:val="24"/>
          <w:szCs w:val="24"/>
          <w:lang w:val="es-ES"/>
        </w:rPr>
        <w:t>SMVU Veterinaria Montevideo – Año LXXV – Volumen 54 – No.206</w:t>
      </w:r>
    </w:p>
    <w:p>
      <w:pPr>
        <w:pStyle w:val="ListParagraph"/>
        <w:rPr/>
      </w:pPr>
      <w:r>
        <w:rPr>
          <w:rFonts w:cs="Arial" w:ascii="Arial" w:hAnsi="Arial"/>
          <w:sz w:val="24"/>
          <w:szCs w:val="24"/>
          <w:lang w:val="es-ES"/>
        </w:rPr>
        <w:t xml:space="preserve">ISSN 1688-4809 Uruguay </w:t>
      </w:r>
    </w:p>
    <w:p>
      <w:pPr>
        <w:pStyle w:val="ListParagraph"/>
        <w:ind w:left="720" w:hanging="0"/>
        <w:rPr/>
      </w:pPr>
      <w:r>
        <w:rPr>
          <w:rFonts w:cs="Arial" w:ascii="Arial" w:hAnsi="Arial"/>
          <w:sz w:val="24"/>
          <w:szCs w:val="24"/>
          <w:lang w:val="es-ES"/>
        </w:rPr>
        <w:t xml:space="preserve">     </w:t>
      </w:r>
    </w:p>
    <w:p>
      <w:pPr>
        <w:pStyle w:val="ListParagraph"/>
        <w:ind w:hanging="0"/>
        <w:rPr/>
      </w:pPr>
      <w:r>
        <w:rPr>
          <w:rFonts w:cs="Arial" w:ascii="Arial" w:hAnsi="Arial"/>
          <w:sz w:val="24"/>
          <w:szCs w:val="24"/>
          <w:lang w:val="es-ES"/>
        </w:rPr>
        <w:t xml:space="preserve">    </w:t>
      </w:r>
      <w:r>
        <w:rPr>
          <w:rFonts w:cs="Arial" w:ascii="Arial" w:hAnsi="Arial"/>
          <w:sz w:val="24"/>
          <w:szCs w:val="24"/>
          <w:lang w:val="es-ES"/>
        </w:rPr>
        <w:t xml:space="preserve">5- </w:t>
      </w:r>
      <w:r>
        <w:rPr>
          <w:rFonts w:cs="Arial" w:ascii="Arial" w:hAnsi="Arial"/>
          <w:sz w:val="24"/>
          <w:szCs w:val="24"/>
          <w:lang w:val="es-ES"/>
        </w:rPr>
        <w:t xml:space="preserve"> Bertacchi M. </w:t>
      </w:r>
      <w:r>
        <w:rPr>
          <w:rFonts w:cs="Arial" w:ascii="Arial" w:hAnsi="Arial"/>
          <w:b/>
          <w:bCs/>
          <w:sz w:val="24"/>
          <w:szCs w:val="24"/>
          <w:lang w:val="es-ES"/>
        </w:rPr>
        <w:t xml:space="preserve">López C. </w:t>
      </w:r>
      <w:r>
        <w:rPr>
          <w:rFonts w:cs="Arial" w:ascii="Arial" w:hAnsi="Arial"/>
          <w:b w:val="false"/>
          <w:bCs w:val="false"/>
          <w:sz w:val="24"/>
          <w:szCs w:val="24"/>
          <w:lang w:val="es-ES"/>
        </w:rPr>
        <w:t xml:space="preserve">(2017) </w:t>
      </w:r>
      <w:r>
        <w:rPr>
          <w:rFonts w:cs="Arial" w:ascii="Arial" w:hAnsi="Arial"/>
          <w:sz w:val="24"/>
          <w:szCs w:val="24"/>
          <w:lang w:val="es-ES"/>
        </w:rPr>
        <w:t xml:space="preserve"> Alteraciones en tripas bovinas saladas   </w:t>
      </w:r>
    </w:p>
    <w:p>
      <w:pPr>
        <w:pStyle w:val="ListParagraph"/>
        <w:ind w:hanging="0"/>
        <w:rPr/>
      </w:pPr>
      <w:r>
        <w:rPr>
          <w:rFonts w:cs="Arial" w:ascii="Arial" w:hAnsi="Arial"/>
          <w:sz w:val="24"/>
          <w:szCs w:val="24"/>
          <w:lang w:val="es-ES"/>
        </w:rPr>
        <w:t xml:space="preserve">         </w:t>
      </w:r>
      <w:r>
        <w:rPr>
          <w:rFonts w:cs="Arial" w:ascii="Arial" w:hAnsi="Arial"/>
          <w:sz w:val="24"/>
          <w:szCs w:val="24"/>
          <w:lang w:val="es-ES"/>
        </w:rPr>
        <w:t xml:space="preserve">por causa de archeas halófilas extremas </w:t>
      </w:r>
    </w:p>
    <w:p>
      <w:pPr>
        <w:pStyle w:val="ListParagraph"/>
        <w:ind w:hanging="0"/>
        <w:rPr/>
      </w:pPr>
      <w:r>
        <w:rPr>
          <w:rFonts w:cs="Arial" w:ascii="Arial" w:hAnsi="Arial"/>
          <w:sz w:val="24"/>
          <w:szCs w:val="24"/>
          <w:lang w:val="es-ES"/>
        </w:rPr>
        <w:t xml:space="preserve">         </w:t>
      </w:r>
      <w:r>
        <w:rPr>
          <w:rFonts w:cs="Arial" w:ascii="Arial" w:hAnsi="Arial"/>
          <w:sz w:val="24"/>
          <w:szCs w:val="24"/>
          <w:lang w:val="es-ES"/>
        </w:rPr>
        <w:t xml:space="preserve">Carnes &amp; Alimentos Año 18 - No.60 – Junio 2017 – (24-27) ISNN 1510- </w:t>
      </w:r>
    </w:p>
    <w:p>
      <w:pPr>
        <w:pStyle w:val="ListParagraph"/>
        <w:ind w:hanging="0"/>
        <w:rPr/>
      </w:pPr>
      <w:r>
        <w:rPr>
          <w:rFonts w:cs="Arial" w:ascii="Arial" w:hAnsi="Arial"/>
          <w:sz w:val="24"/>
          <w:szCs w:val="24"/>
          <w:lang w:val="es-ES"/>
        </w:rPr>
        <w:t xml:space="preserve">         </w:t>
      </w:r>
      <w:r>
        <w:rPr>
          <w:rFonts w:cs="Arial" w:ascii="Arial" w:hAnsi="Arial"/>
          <w:sz w:val="24"/>
          <w:szCs w:val="24"/>
          <w:lang w:val="es-ES"/>
        </w:rPr>
        <w:t xml:space="preserve">3870 – Uruguay </w:t>
      </w:r>
    </w:p>
    <w:p>
      <w:pPr>
        <w:pStyle w:val="ListParagraph"/>
        <w:rPr>
          <w:rFonts w:ascii="Arial" w:hAnsi="Arial" w:cs="Arial"/>
          <w:sz w:val="24"/>
          <w:szCs w:val="24"/>
          <w:lang w:val="es-ES"/>
        </w:rPr>
      </w:pPr>
      <w:r>
        <w:rPr>
          <w:rFonts w:cs="Arial" w:ascii="Arial" w:hAnsi="Arial"/>
          <w:sz w:val="24"/>
          <w:szCs w:val="24"/>
          <w:lang w:val="es-ES"/>
        </w:rPr>
      </w:r>
    </w:p>
    <w:p>
      <w:pPr>
        <w:pStyle w:val="ListParagraph"/>
        <w:rPr>
          <w:rFonts w:ascii="Arial" w:hAnsi="Arial" w:cs="Arial"/>
          <w:sz w:val="24"/>
          <w:szCs w:val="24"/>
          <w:lang w:val="es-ES"/>
        </w:rPr>
      </w:pPr>
      <w:r>
        <w:rPr>
          <w:rFonts w:cs="Arial" w:ascii="Arial" w:hAnsi="Arial"/>
          <w:sz w:val="24"/>
          <w:szCs w:val="24"/>
          <w:lang w:val="es-ES"/>
        </w:rPr>
      </w:r>
    </w:p>
    <w:p>
      <w:pPr>
        <w:pStyle w:val="ListParagraph"/>
        <w:spacing w:before="0" w:after="160"/>
        <w:contextualSpacing/>
        <w:rPr/>
      </w:pPr>
      <w:r>
        <w:rPr/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s-UY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s-UY" w:eastAsia="en-US" w:bidi="ar-SA"/>
      </w:rPr>
    </w:rPrDefault>
    <w:pPrDefault>
      <w:pPr>
        <w:spacing w:lineRule="auto" w:line="25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es-UY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Encabezado">
    <w:name w:val="Encabezado"/>
    <w:basedOn w:val="Normal"/>
    <w:next w:val="Cuerpode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uerpodetexto">
    <w:name w:val="Cuerpo de texto"/>
    <w:basedOn w:val="Normal"/>
    <w:pPr>
      <w:spacing w:lineRule="auto" w:line="288" w:before="0" w:after="140"/>
    </w:pPr>
    <w:rPr/>
  </w:style>
  <w:style w:type="paragraph" w:styleId="Lista">
    <w:name w:val="Lista"/>
    <w:basedOn w:val="Cuerpodetexto"/>
    <w:pPr/>
    <w:rPr>
      <w:rFonts w:cs="Mangal"/>
    </w:rPr>
  </w:style>
  <w:style w:type="paragraph" w:styleId="Pie">
    <w:name w:val="Pie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b235b7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Application>LibreOffice/4.4.2.2$Windows_x86 LibreOffice_project/c4c7d32d0d49397cad38d62472b0bc8acff48dd6</Application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2017-08-01T20:35:00Z</dcterms:created>
  <dc:creator>Usuario</dc:creator>
  <dc:language>es-UY</dc:language>
  <dcterms:modified xsi:type="dcterms:W3CDTF">2017-08-05T09:49:07Z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