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4A1" w:rsidRDefault="008204A1" w:rsidP="008204A1">
      <w:pPr>
        <w:spacing w:line="480" w:lineRule="auto"/>
        <w:jc w:val="both"/>
        <w:rPr>
          <w:rFonts w:eastAsia="Helvetica" w:cstheme="majorBidi"/>
          <w:b/>
          <w:bCs/>
          <w:color w:val="000000"/>
          <w:szCs w:val="24"/>
          <w:bdr w:val="none" w:sz="0" w:space="0" w:color="auto" w:frame="1"/>
        </w:rPr>
      </w:pPr>
      <w:r>
        <w:rPr>
          <w:rFonts w:eastAsia="Helvetica" w:cstheme="majorBidi"/>
          <w:b/>
          <w:bCs/>
          <w:color w:val="000000"/>
          <w:szCs w:val="24"/>
          <w:bdr w:val="none" w:sz="0" w:space="0" w:color="auto" w:frame="1"/>
        </w:rPr>
        <w:t>Epidemiology of Sickle cell disease in Gulf Cooperation Council Countries: A Systematic Review</w:t>
      </w:r>
    </w:p>
    <w:p w:rsidR="008204A1" w:rsidRDefault="008204A1" w:rsidP="008204A1">
      <w:pPr>
        <w:pStyle w:val="ListParagraph"/>
        <w:autoSpaceDE w:val="0"/>
        <w:autoSpaceDN w:val="0"/>
        <w:adjustRightInd w:val="0"/>
        <w:spacing w:line="480" w:lineRule="auto"/>
        <w:ind w:left="0"/>
        <w:rPr>
          <w:rFonts w:ascii="Times New Roman" w:hAnsi="Times New Roman" w:cs="Times New Roman"/>
          <w:bCs/>
          <w:iCs/>
          <w:szCs w:val="24"/>
        </w:rPr>
      </w:pPr>
      <w:r>
        <w:rPr>
          <w:rFonts w:ascii="Times New Roman" w:hAnsi="Times New Roman" w:cs="Times New Roman"/>
          <w:b/>
          <w:iCs/>
          <w:szCs w:val="24"/>
        </w:rPr>
        <w:t xml:space="preserve">Authors: </w:t>
      </w:r>
      <w:r>
        <w:rPr>
          <w:rFonts w:ascii="Times New Roman" w:hAnsi="Times New Roman" w:cs="Times New Roman"/>
          <w:bCs/>
          <w:iCs/>
          <w:szCs w:val="24"/>
        </w:rPr>
        <w:t>Amani Abu-Shaheen, Humariya Munshi,</w:t>
      </w:r>
      <w:r>
        <w:t xml:space="preserve"> </w:t>
      </w:r>
      <w:r>
        <w:rPr>
          <w:rFonts w:ascii="Times New Roman" w:hAnsi="Times New Roman" w:cs="Times New Roman"/>
          <w:bCs/>
          <w:iCs/>
          <w:szCs w:val="24"/>
        </w:rPr>
        <w:t xml:space="preserve">Abdullah Nofal, Doaa A. Abdelmoety, Anas Khan, Muhammad Riaz, Isamme AlFayyad </w:t>
      </w:r>
    </w:p>
    <w:p w:rsidR="008204A1" w:rsidRDefault="008204A1" w:rsidP="008204A1">
      <w:pPr>
        <w:pStyle w:val="ListParagraph"/>
        <w:autoSpaceDE w:val="0"/>
        <w:autoSpaceDN w:val="0"/>
        <w:adjustRightInd w:val="0"/>
        <w:spacing w:line="480" w:lineRule="auto"/>
        <w:ind w:left="0"/>
        <w:rPr>
          <w:rFonts w:ascii="Times New Roman" w:hAnsi="Times New Roman" w:cs="Times New Roman"/>
          <w:bCs/>
          <w:iCs/>
          <w:szCs w:val="24"/>
        </w:rPr>
      </w:pPr>
    </w:p>
    <w:p w:rsidR="008204A1" w:rsidRDefault="008204A1" w:rsidP="008204A1">
      <w:pPr>
        <w:pStyle w:val="ListParagraph"/>
        <w:autoSpaceDE w:val="0"/>
        <w:autoSpaceDN w:val="0"/>
        <w:adjustRightInd w:val="0"/>
        <w:spacing w:line="480" w:lineRule="auto"/>
        <w:ind w:left="0"/>
        <w:rPr>
          <w:rFonts w:ascii="Times New Roman" w:eastAsia="Times New Roman" w:hAnsi="Times New Roman" w:cs="Times New Roman"/>
          <w:bCs/>
          <w:i/>
          <w:color w:val="000000"/>
          <w:szCs w:val="24"/>
        </w:rPr>
      </w:pPr>
      <w:r>
        <w:rPr>
          <w:rFonts w:ascii="Times New Roman" w:hAnsi="Times New Roman" w:cs="Times New Roman"/>
          <w:bCs/>
          <w:color w:val="000000"/>
          <w:szCs w:val="24"/>
        </w:rPr>
        <w:t>Research Center, King Fahad Medical City, Riyadh</w:t>
      </w:r>
      <w:r>
        <w:rPr>
          <w:rFonts w:ascii="Times New Roman" w:eastAsia="Times New Roman" w:hAnsi="Times New Roman" w:cs="Times New Roman"/>
          <w:bCs/>
          <w:color w:val="000000"/>
          <w:szCs w:val="24"/>
        </w:rPr>
        <w:t xml:space="preserve">, </w:t>
      </w:r>
      <w:r>
        <w:rPr>
          <w:rFonts w:ascii="Times New Roman" w:hAnsi="Times New Roman" w:cs="Times New Roman"/>
          <w:bCs/>
          <w:color w:val="000000"/>
          <w:szCs w:val="24"/>
        </w:rPr>
        <w:t>Saudi Arabia</w:t>
      </w:r>
      <w:r>
        <w:rPr>
          <w:rFonts w:ascii="Times New Roman" w:eastAsia="Times New Roman" w:hAnsi="Times New Roman" w:cs="Times New Roman"/>
          <w:bCs/>
          <w:color w:val="000000"/>
          <w:szCs w:val="24"/>
        </w:rPr>
        <w:t xml:space="preserve">. </w:t>
      </w:r>
    </w:p>
    <w:p w:rsidR="008204A1" w:rsidRDefault="008204A1" w:rsidP="008204A1">
      <w:pPr>
        <w:spacing w:line="480" w:lineRule="auto"/>
        <w:rPr>
          <w:rFonts w:ascii="Times New Roman" w:hAnsi="Times New Roman" w:cs="Times New Roman"/>
          <w:b/>
          <w:i/>
          <w:color w:val="000000"/>
          <w:szCs w:val="24"/>
        </w:rPr>
      </w:pPr>
      <w:r>
        <w:rPr>
          <w:rFonts w:ascii="Times New Roman" w:eastAsia="Times New Roman" w:hAnsi="Times New Roman" w:cs="Times New Roman"/>
          <w:b/>
          <w:color w:val="000000"/>
          <w:szCs w:val="24"/>
        </w:rPr>
        <w:t xml:space="preserve">Corresponding Author: </w:t>
      </w:r>
    </w:p>
    <w:p w:rsidR="008204A1" w:rsidRDefault="008204A1" w:rsidP="008204A1">
      <w:pPr>
        <w:spacing w:line="480" w:lineRule="auto"/>
        <w:rPr>
          <w:rFonts w:ascii="Times New Roman" w:eastAsia="Times New Roman" w:hAnsi="Times New Roman" w:cs="Times New Roman"/>
          <w:b/>
          <w:color w:val="000000"/>
          <w:szCs w:val="24"/>
        </w:rPr>
      </w:pPr>
      <w:r>
        <w:rPr>
          <w:rFonts w:ascii="Times New Roman" w:eastAsia="Times New Roman" w:hAnsi="Times New Roman" w:cs="Times New Roman"/>
          <w:b/>
          <w:color w:val="000000"/>
          <w:szCs w:val="24"/>
        </w:rPr>
        <w:t xml:space="preserve">Amani Abu-Shaheen </w:t>
      </w: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r>
        <w:rPr>
          <w:rFonts w:ascii="Times New Roman" w:eastAsia="Times New Roman" w:hAnsi="Times New Roman" w:cs="Times New Roman"/>
          <w:bCs/>
          <w:color w:val="000000"/>
          <w:szCs w:val="24"/>
        </w:rPr>
        <w:t xml:space="preserve">Research Center, King Fahad Medical City, Riyadh, Saudi Arabia. </w:t>
      </w: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r>
        <w:rPr>
          <w:rFonts w:ascii="Times New Roman" w:eastAsia="Times New Roman" w:hAnsi="Times New Roman" w:cs="Times New Roman"/>
          <w:bCs/>
          <w:color w:val="000000"/>
          <w:szCs w:val="24"/>
        </w:rPr>
        <w:t>P.O. Box: 59046 Riyadh 11525, Saudi Arabia</w:t>
      </w: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r w:rsidRPr="007655FA">
        <w:rPr>
          <w:rFonts w:ascii="Times New Roman" w:eastAsia="Times New Roman" w:hAnsi="Times New Roman" w:cs="Times New Roman"/>
          <w:b/>
          <w:color w:val="000000"/>
          <w:szCs w:val="24"/>
        </w:rPr>
        <w:t>Email:</w:t>
      </w:r>
      <w:r>
        <w:rPr>
          <w:rFonts w:ascii="Times New Roman" w:eastAsia="Times New Roman" w:hAnsi="Times New Roman" w:cs="Times New Roman"/>
          <w:bCs/>
          <w:color w:val="000000"/>
          <w:szCs w:val="24"/>
        </w:rPr>
        <w:t xml:space="preserve"> aabushaheen@kfmc.med.sa OR amanishaheen@yahoo.com</w:t>
      </w: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r w:rsidRPr="007655FA">
        <w:rPr>
          <w:rFonts w:ascii="Times New Roman" w:eastAsia="Times New Roman" w:hAnsi="Times New Roman" w:cs="Times New Roman"/>
          <w:b/>
          <w:color w:val="000000"/>
          <w:szCs w:val="24"/>
        </w:rPr>
        <w:t>Telephone:</w:t>
      </w:r>
      <w:r>
        <w:rPr>
          <w:rFonts w:ascii="Times New Roman" w:eastAsia="Times New Roman" w:hAnsi="Times New Roman" w:cs="Times New Roman"/>
          <w:bCs/>
          <w:color w:val="000000"/>
          <w:szCs w:val="24"/>
        </w:rPr>
        <w:t xml:space="preserve"> +966 1 288 9999 Ext. 10851</w:t>
      </w:r>
    </w:p>
    <w:p w:rsidR="007655FA" w:rsidRDefault="007655FA" w:rsidP="008204A1">
      <w:pPr>
        <w:autoSpaceDE w:val="0"/>
        <w:autoSpaceDN w:val="0"/>
        <w:adjustRightInd w:val="0"/>
        <w:spacing w:line="480" w:lineRule="auto"/>
        <w:jc w:val="both"/>
        <w:rPr>
          <w:rFonts w:ascii="Times New Roman" w:eastAsia="Times New Roman" w:hAnsi="Times New Roman" w:cs="Times New Roman"/>
          <w:bCs/>
          <w:color w:val="000000"/>
          <w:szCs w:val="24"/>
        </w:rPr>
      </w:pPr>
      <w:r w:rsidRPr="007655FA">
        <w:rPr>
          <w:rFonts w:ascii="Times New Roman" w:eastAsia="Times New Roman" w:hAnsi="Times New Roman" w:cs="Times New Roman"/>
          <w:b/>
          <w:color w:val="000000"/>
          <w:szCs w:val="24"/>
        </w:rPr>
        <w:t>Mob:</w:t>
      </w:r>
      <w:r>
        <w:rPr>
          <w:rFonts w:ascii="Times New Roman" w:eastAsia="Times New Roman" w:hAnsi="Times New Roman" w:cs="Times New Roman"/>
          <w:bCs/>
          <w:color w:val="000000"/>
          <w:szCs w:val="24"/>
        </w:rPr>
        <w:t xml:space="preserve"> 00966506631270</w:t>
      </w: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autoSpaceDE w:val="0"/>
        <w:autoSpaceDN w:val="0"/>
        <w:adjustRightInd w:val="0"/>
        <w:spacing w:line="480" w:lineRule="auto"/>
        <w:jc w:val="both"/>
        <w:rPr>
          <w:rFonts w:ascii="Times New Roman" w:eastAsia="Times New Roman" w:hAnsi="Times New Roman" w:cs="Times New Roman"/>
          <w:bCs/>
          <w:color w:val="000000"/>
          <w:szCs w:val="24"/>
        </w:rPr>
      </w:pPr>
    </w:p>
    <w:p w:rsidR="008204A1" w:rsidRDefault="008204A1" w:rsidP="008204A1">
      <w:pPr>
        <w:spacing w:line="480" w:lineRule="auto"/>
        <w:jc w:val="both"/>
        <w:rPr>
          <w:rFonts w:cstheme="majorBidi"/>
          <w:color w:val="FF0000"/>
          <w:szCs w:val="24"/>
          <w:highlight w:val="yellow"/>
        </w:rPr>
      </w:pPr>
      <w:r>
        <w:rPr>
          <w:rFonts w:cstheme="majorBidi"/>
          <w:b/>
          <w:bCs/>
          <w:szCs w:val="24"/>
        </w:rPr>
        <w:lastRenderedPageBreak/>
        <w:t>ABSTRACT</w:t>
      </w:r>
    </w:p>
    <w:p w:rsidR="008204A1" w:rsidRDefault="008204A1" w:rsidP="008204A1">
      <w:pPr>
        <w:pStyle w:val="Default"/>
        <w:spacing w:after="240" w:line="480" w:lineRule="auto"/>
        <w:jc w:val="both"/>
        <w:rPr>
          <w:rFonts w:asciiTheme="majorBidi" w:hAnsiTheme="majorBidi" w:cstheme="majorBidi"/>
          <w:b/>
          <w:bCs/>
          <w:bdr w:val="none" w:sz="0" w:space="0" w:color="auto" w:frame="1"/>
        </w:rPr>
      </w:pPr>
      <w:r>
        <w:rPr>
          <w:rFonts w:asciiTheme="majorBidi" w:hAnsiTheme="majorBidi" w:cstheme="majorBidi"/>
          <w:b/>
          <w:bCs/>
          <w:bdr w:val="none" w:sz="0" w:space="0" w:color="auto" w:frame="1"/>
        </w:rPr>
        <w:t>Introduction:</w:t>
      </w:r>
    </w:p>
    <w:p w:rsidR="00432F64" w:rsidRPr="005A0107" w:rsidRDefault="005B5279" w:rsidP="005A0107">
      <w:pPr>
        <w:pStyle w:val="Default"/>
        <w:spacing w:after="240" w:line="480" w:lineRule="auto"/>
        <w:jc w:val="both"/>
        <w:rPr>
          <w:rFonts w:cstheme="majorBidi"/>
          <w:lang w:eastAsia="ar-SA"/>
        </w:rPr>
      </w:pPr>
      <w:r w:rsidRPr="00D22C7C">
        <w:rPr>
          <w:rFonts w:cstheme="majorBidi"/>
          <w:noProof/>
          <w:lang w:eastAsia="ar-SA"/>
        </w:rPr>
        <w:t>Sickle cell disease (SCD) is an autosomal recessive</w:t>
      </w:r>
      <w:r w:rsidRPr="00D22C7C">
        <w:rPr>
          <w:rFonts w:cstheme="majorBidi"/>
          <w:lang w:eastAsia="ar-SA"/>
        </w:rPr>
        <w:t xml:space="preserve"> disorder characterized by the production of abnormal hemoglobin S. </w:t>
      </w:r>
      <w:r w:rsidRPr="005B5279">
        <w:rPr>
          <w:rFonts w:cstheme="majorBidi"/>
          <w:lang w:eastAsia="ar-SA"/>
        </w:rPr>
        <w:t>The incidence of SCD in the Arabian Peninsula ranged from 1.</w:t>
      </w:r>
      <w:r>
        <w:rPr>
          <w:rFonts w:cstheme="majorBidi"/>
          <w:lang w:eastAsia="ar-SA"/>
        </w:rPr>
        <w:t>2 to 2.6%</w:t>
      </w:r>
      <w:r w:rsidRPr="005B5279">
        <w:rPr>
          <w:rFonts w:cstheme="majorBidi"/>
          <w:lang w:eastAsia="ar-SA"/>
        </w:rPr>
        <w:t>. In Saudi Arabia, the prevalence of SCD varies significantly in different parts of the country, with the highest incidence reported in the Eastern province. The morta</w:t>
      </w:r>
      <w:r>
        <w:rPr>
          <w:rFonts w:cstheme="majorBidi"/>
          <w:lang w:eastAsia="ar-SA"/>
        </w:rPr>
        <w:t xml:space="preserve">lity rates associated with SCD </w:t>
      </w:r>
      <w:r w:rsidRPr="005B5279">
        <w:rPr>
          <w:rFonts w:cstheme="majorBidi"/>
          <w:lang w:eastAsia="ar-SA"/>
        </w:rPr>
        <w:t xml:space="preserve">vary considerably worldwide. </w:t>
      </w:r>
      <w:r w:rsidRPr="00D22C7C">
        <w:rPr>
          <w:rFonts w:cstheme="majorBidi"/>
          <w:lang w:eastAsia="ar-SA"/>
        </w:rPr>
        <w:t xml:space="preserve">Countries in the Gulf region </w:t>
      </w:r>
      <w:r>
        <w:rPr>
          <w:rFonts w:cstheme="majorBidi"/>
          <w:lang w:eastAsia="ar-SA"/>
        </w:rPr>
        <w:t xml:space="preserve">have </w:t>
      </w:r>
      <w:r w:rsidRPr="00D22C7C">
        <w:rPr>
          <w:rFonts w:cstheme="majorBidi"/>
          <w:lang w:eastAsia="ar-SA"/>
        </w:rPr>
        <w:t>adopt</w:t>
      </w:r>
      <w:r>
        <w:rPr>
          <w:rFonts w:cstheme="majorBidi"/>
          <w:lang w:eastAsia="ar-SA"/>
        </w:rPr>
        <w:t>ed</w:t>
      </w:r>
      <w:r w:rsidRPr="00D22C7C">
        <w:rPr>
          <w:rFonts w:cstheme="majorBidi"/>
          <w:lang w:eastAsia="ar-SA"/>
        </w:rPr>
        <w:t xml:space="preserve"> different preventive measures</w:t>
      </w:r>
      <w:r>
        <w:rPr>
          <w:rFonts w:cstheme="majorBidi"/>
          <w:lang w:eastAsia="ar-SA"/>
        </w:rPr>
        <w:t xml:space="preserve"> over the </w:t>
      </w:r>
      <w:r w:rsidRPr="00E701BB">
        <w:rPr>
          <w:rFonts w:cstheme="majorBidi"/>
          <w:noProof/>
          <w:lang w:eastAsia="ar-SA"/>
        </w:rPr>
        <w:t>years,</w:t>
      </w:r>
      <w:r w:rsidRPr="00D22C7C">
        <w:rPr>
          <w:rFonts w:cstheme="majorBidi"/>
          <w:lang w:eastAsia="ar-SA"/>
        </w:rPr>
        <w:t xml:space="preserve"> like newborn screening programs, a premarital</w:t>
      </w:r>
      <w:r w:rsidR="00B04583">
        <w:rPr>
          <w:rFonts w:cstheme="majorBidi"/>
          <w:lang w:eastAsia="ar-SA"/>
        </w:rPr>
        <w:t>,</w:t>
      </w:r>
      <w:r w:rsidRPr="00D22C7C">
        <w:rPr>
          <w:rFonts w:cstheme="majorBidi"/>
          <w:lang w:eastAsia="ar-SA"/>
        </w:rPr>
        <w:t xml:space="preserve"> </w:t>
      </w:r>
      <w:r w:rsidR="00432F64" w:rsidRPr="00B04583">
        <w:rPr>
          <w:rFonts w:cstheme="majorBidi"/>
          <w:noProof/>
          <w:lang w:eastAsia="ar-SA"/>
        </w:rPr>
        <w:t>and</w:t>
      </w:r>
      <w:r w:rsidR="00432F64" w:rsidRPr="00D22C7C">
        <w:rPr>
          <w:rFonts w:cstheme="majorBidi"/>
          <w:lang w:eastAsia="ar-SA"/>
        </w:rPr>
        <w:t xml:space="preserve"> </w:t>
      </w:r>
      <w:r w:rsidRPr="00D22C7C">
        <w:rPr>
          <w:rFonts w:cstheme="majorBidi"/>
          <w:lang w:eastAsia="ar-SA"/>
        </w:rPr>
        <w:t>counseling program</w:t>
      </w:r>
      <w:r w:rsidR="00030AF2">
        <w:rPr>
          <w:rFonts w:cstheme="majorBidi"/>
          <w:lang w:eastAsia="ar-SA"/>
        </w:rPr>
        <w:t xml:space="preserve">. </w:t>
      </w:r>
      <w:r w:rsidRPr="00D22C7C">
        <w:rPr>
          <w:rFonts w:cstheme="majorBidi"/>
          <w:lang w:eastAsia="ar-SA"/>
        </w:rPr>
        <w:t xml:space="preserve">Various factors have contributed to inadequate data on the real magnitude of health and economic burden of SCD in the Gulf Cooperation Council (GCC) countries. The national burden of SCD in Saudi </w:t>
      </w:r>
      <w:r w:rsidRPr="00E701BB">
        <w:rPr>
          <w:rFonts w:cstheme="majorBidi"/>
          <w:noProof/>
          <w:lang w:eastAsia="ar-SA"/>
        </w:rPr>
        <w:t>Arabia</w:t>
      </w:r>
      <w:r>
        <w:rPr>
          <w:rFonts w:cstheme="majorBidi"/>
          <w:noProof/>
          <w:lang w:eastAsia="ar-SA"/>
        </w:rPr>
        <w:t xml:space="preserve"> </w:t>
      </w:r>
      <w:r w:rsidRPr="005A0107">
        <w:rPr>
          <w:rFonts w:cstheme="majorBidi"/>
          <w:noProof/>
          <w:lang w:eastAsia="ar-SA"/>
        </w:rPr>
        <w:t>is reported</w:t>
      </w:r>
      <w:r w:rsidRPr="00D22C7C">
        <w:rPr>
          <w:rFonts w:cstheme="majorBidi"/>
          <w:lang w:eastAsia="ar-SA"/>
        </w:rPr>
        <w:t xml:space="preserve"> in fragmented scientific works.</w:t>
      </w:r>
      <w:r w:rsidR="005A0107">
        <w:rPr>
          <w:rFonts w:cstheme="majorBidi"/>
          <w:noProof/>
          <w:lang w:eastAsia="ar-SA"/>
        </w:rPr>
        <w:t xml:space="preserve"> </w:t>
      </w:r>
      <w:r w:rsidRPr="005A0107">
        <w:rPr>
          <w:rFonts w:cstheme="majorBidi"/>
          <w:noProof/>
          <w:lang w:eastAsia="ar-SA"/>
        </w:rPr>
        <w:t>Moreover</w:t>
      </w:r>
      <w:r w:rsidRPr="00D22C7C">
        <w:rPr>
          <w:rFonts w:cstheme="majorBidi"/>
          <w:lang w:eastAsia="ar-SA"/>
        </w:rPr>
        <w:t xml:space="preserve">, although screening tests are available in major hospitals, genetic counseling services are few and far </w:t>
      </w:r>
      <w:r>
        <w:rPr>
          <w:rFonts w:cstheme="majorBidi"/>
          <w:lang w:eastAsia="ar-SA"/>
        </w:rPr>
        <w:t xml:space="preserve">between </w:t>
      </w:r>
      <w:r w:rsidRPr="00D22C7C">
        <w:rPr>
          <w:rFonts w:cstheme="majorBidi"/>
          <w:lang w:eastAsia="ar-SA"/>
        </w:rPr>
        <w:t>which</w:t>
      </w:r>
      <w:r w:rsidR="00B04583">
        <w:rPr>
          <w:rFonts w:cstheme="majorBidi"/>
          <w:lang w:eastAsia="ar-SA"/>
        </w:rPr>
        <w:t>,</w:t>
      </w:r>
      <w:r w:rsidRPr="00D22C7C">
        <w:rPr>
          <w:rFonts w:cstheme="majorBidi"/>
          <w:lang w:eastAsia="ar-SA"/>
        </w:rPr>
        <w:t xml:space="preserve"> </w:t>
      </w:r>
      <w:r w:rsidRPr="00B04583">
        <w:rPr>
          <w:rFonts w:cstheme="majorBidi"/>
          <w:noProof/>
          <w:lang w:eastAsia="ar-SA"/>
        </w:rPr>
        <w:t>together</w:t>
      </w:r>
      <w:r w:rsidRPr="00D22C7C">
        <w:rPr>
          <w:rFonts w:cstheme="majorBidi"/>
          <w:lang w:eastAsia="ar-SA"/>
        </w:rPr>
        <w:t xml:space="preserve"> </w:t>
      </w:r>
      <w:r>
        <w:rPr>
          <w:rFonts w:cstheme="majorBidi"/>
          <w:lang w:eastAsia="ar-SA"/>
        </w:rPr>
        <w:t xml:space="preserve">with </w:t>
      </w:r>
      <w:r w:rsidRPr="00D22C7C">
        <w:rPr>
          <w:rFonts w:cstheme="majorBidi"/>
          <w:lang w:eastAsia="ar-SA"/>
        </w:rPr>
        <w:t>low genetic literacy among the public</w:t>
      </w:r>
      <w:r w:rsidR="00B04583">
        <w:rPr>
          <w:rFonts w:cstheme="majorBidi"/>
          <w:lang w:eastAsia="ar-SA"/>
        </w:rPr>
        <w:t>,</w:t>
      </w:r>
      <w:r w:rsidRPr="00D22C7C">
        <w:rPr>
          <w:rFonts w:cstheme="majorBidi"/>
          <w:lang w:eastAsia="ar-SA"/>
        </w:rPr>
        <w:t xml:space="preserve"> </w:t>
      </w:r>
      <w:r w:rsidRPr="00B04583">
        <w:rPr>
          <w:rFonts w:cstheme="majorBidi"/>
          <w:noProof/>
          <w:lang w:eastAsia="ar-SA"/>
        </w:rPr>
        <w:t>results</w:t>
      </w:r>
      <w:r>
        <w:rPr>
          <w:rFonts w:cstheme="majorBidi"/>
          <w:lang w:eastAsia="ar-SA"/>
        </w:rPr>
        <w:t xml:space="preserve"> in a </w:t>
      </w:r>
      <w:r w:rsidRPr="00D22C7C">
        <w:rPr>
          <w:rFonts w:cstheme="majorBidi"/>
          <w:lang w:eastAsia="ar-SA"/>
        </w:rPr>
        <w:t xml:space="preserve">lack of </w:t>
      </w:r>
      <w:r w:rsidRPr="00E701BB">
        <w:rPr>
          <w:rFonts w:cstheme="majorBidi"/>
          <w:noProof/>
          <w:lang w:eastAsia="ar-SA"/>
        </w:rPr>
        <w:t>awareness</w:t>
      </w:r>
      <w:r>
        <w:rPr>
          <w:rFonts w:cstheme="majorBidi"/>
          <w:noProof/>
          <w:lang w:eastAsia="ar-SA"/>
        </w:rPr>
        <w:t xml:space="preserve"> </w:t>
      </w:r>
      <w:r w:rsidRPr="00E701BB">
        <w:rPr>
          <w:rFonts w:cstheme="majorBidi"/>
          <w:noProof/>
          <w:lang w:eastAsia="ar-SA"/>
        </w:rPr>
        <w:t>about</w:t>
      </w:r>
      <w:r w:rsidRPr="00D22C7C">
        <w:rPr>
          <w:rFonts w:cstheme="majorBidi"/>
          <w:lang w:eastAsia="ar-SA"/>
        </w:rPr>
        <w:t xml:space="preserve"> genetic </w:t>
      </w:r>
      <w:r w:rsidRPr="00E701BB">
        <w:rPr>
          <w:rFonts w:cstheme="majorBidi"/>
          <w:noProof/>
          <w:lang w:eastAsia="ar-SA"/>
        </w:rPr>
        <w:t>disorders</w:t>
      </w:r>
      <w:r>
        <w:rPr>
          <w:rFonts w:cstheme="majorBidi"/>
          <w:noProof/>
          <w:lang w:eastAsia="ar-SA"/>
        </w:rPr>
        <w:t xml:space="preserve"> </w:t>
      </w:r>
      <w:r w:rsidRPr="00E701BB">
        <w:rPr>
          <w:rFonts w:cstheme="majorBidi"/>
          <w:noProof/>
          <w:lang w:eastAsia="ar-SA"/>
        </w:rPr>
        <w:t>and</w:t>
      </w:r>
      <w:r w:rsidRPr="00D22C7C">
        <w:rPr>
          <w:rFonts w:cstheme="majorBidi"/>
          <w:lang w:eastAsia="ar-SA"/>
        </w:rPr>
        <w:t xml:space="preserve"> possibilities for </w:t>
      </w:r>
      <w:r w:rsidR="00B04583">
        <w:rPr>
          <w:rFonts w:cstheme="majorBidi"/>
          <w:lang w:eastAsia="ar-SA"/>
        </w:rPr>
        <w:t xml:space="preserve">the </w:t>
      </w:r>
      <w:r w:rsidRPr="00B04583">
        <w:rPr>
          <w:rFonts w:cstheme="majorBidi"/>
          <w:noProof/>
          <w:lang w:eastAsia="ar-SA"/>
        </w:rPr>
        <w:t>prevention</w:t>
      </w:r>
      <w:r w:rsidRPr="00D22C7C">
        <w:rPr>
          <w:rFonts w:cstheme="majorBidi"/>
          <w:lang w:eastAsia="ar-SA"/>
        </w:rPr>
        <w:t xml:space="preserve"> of these disorders</w:t>
      </w:r>
      <w:r w:rsidRPr="00E701BB">
        <w:rPr>
          <w:rFonts w:cstheme="majorBidi"/>
          <w:noProof/>
          <w:lang w:eastAsia="ar-SA"/>
        </w:rPr>
        <w:t>.</w:t>
      </w:r>
      <w:r w:rsidR="00432F64">
        <w:rPr>
          <w:rFonts w:asciiTheme="majorBidi" w:hAnsiTheme="majorBidi" w:cstheme="majorBidi"/>
          <w:b/>
          <w:bCs/>
          <w:bdr w:val="none" w:sz="0" w:space="0" w:color="auto" w:frame="1"/>
        </w:rPr>
        <w:t xml:space="preserve"> </w:t>
      </w:r>
      <w:r w:rsidR="008204A1">
        <w:rPr>
          <w:rFonts w:asciiTheme="majorBidi" w:hAnsiTheme="majorBidi" w:cstheme="majorBidi"/>
          <w:b/>
          <w:bCs/>
          <w:bdr w:val="none" w:sz="0" w:space="0" w:color="auto" w:frame="1"/>
        </w:rPr>
        <w:t xml:space="preserve">Objectives: </w:t>
      </w:r>
      <w:r w:rsidR="008204A1">
        <w:rPr>
          <w:rFonts w:cstheme="majorBidi"/>
        </w:rPr>
        <w:t xml:space="preserve">We aimed to systemically review the published studies to </w:t>
      </w:r>
      <w:r w:rsidR="005A0107">
        <w:rPr>
          <w:rFonts w:cstheme="majorBidi"/>
        </w:rPr>
        <w:t>identify</w:t>
      </w:r>
      <w:bookmarkStart w:id="0" w:name="_GoBack"/>
      <w:bookmarkEnd w:id="0"/>
      <w:r w:rsidR="005A0107">
        <w:rPr>
          <w:rFonts w:cstheme="majorBidi"/>
        </w:rPr>
        <w:t xml:space="preserve"> </w:t>
      </w:r>
      <w:r w:rsidR="008204A1">
        <w:rPr>
          <w:rFonts w:cstheme="majorBidi"/>
        </w:rPr>
        <w:t xml:space="preserve">the epidemiological </w:t>
      </w:r>
      <w:r w:rsidR="00432F64">
        <w:rPr>
          <w:rFonts w:cstheme="majorBidi"/>
        </w:rPr>
        <w:t>profile of SCD</w:t>
      </w:r>
      <w:r w:rsidR="008204A1">
        <w:rPr>
          <w:rFonts w:cstheme="majorBidi"/>
        </w:rPr>
        <w:t xml:space="preserve"> in the </w:t>
      </w:r>
      <w:r w:rsidR="00432F64">
        <w:rPr>
          <w:rFonts w:cstheme="majorBidi"/>
        </w:rPr>
        <w:t xml:space="preserve">GCC </w:t>
      </w:r>
      <w:r>
        <w:rPr>
          <w:rFonts w:cstheme="majorBidi"/>
        </w:rPr>
        <w:t>countries</w:t>
      </w:r>
      <w:r w:rsidR="00432F64">
        <w:rPr>
          <w:rFonts w:cstheme="majorBidi"/>
        </w:rPr>
        <w:t xml:space="preserve">. </w:t>
      </w:r>
      <w:r w:rsidR="008204A1">
        <w:rPr>
          <w:rStyle w:val="Strong"/>
        </w:rPr>
        <w:t>Methods:</w:t>
      </w:r>
      <w:r w:rsidR="008204A1">
        <w:rPr>
          <w:rFonts w:cstheme="majorBidi"/>
        </w:rPr>
        <w:t xml:space="preserve"> We systemically searched MEDLINE/PubMed, CINAHL, and EMBASE and selected relevant studies reporting the epidemiology of SCD among </w:t>
      </w:r>
      <w:r w:rsidR="008204A1">
        <w:rPr>
          <w:rFonts w:cstheme="majorBidi"/>
          <w:noProof/>
        </w:rPr>
        <w:t>the GCC</w:t>
      </w:r>
      <w:r w:rsidR="008204A1">
        <w:rPr>
          <w:rFonts w:cstheme="majorBidi"/>
        </w:rPr>
        <w:t xml:space="preserve"> population. Data </w:t>
      </w:r>
      <w:r w:rsidR="008204A1">
        <w:rPr>
          <w:rFonts w:cstheme="majorBidi"/>
          <w:noProof/>
        </w:rPr>
        <w:t>on</w:t>
      </w:r>
      <w:r w:rsidR="008204A1">
        <w:rPr>
          <w:rFonts w:cstheme="majorBidi"/>
        </w:rPr>
        <w:t xml:space="preserve"> the incidence, prevalence, risk factors, mortality rate, and complications of SCD </w:t>
      </w:r>
      <w:r w:rsidR="008204A1" w:rsidRPr="00B04583">
        <w:rPr>
          <w:rFonts w:cstheme="majorBidi"/>
          <w:noProof/>
        </w:rPr>
        <w:t>were extracted</w:t>
      </w:r>
      <w:r w:rsidR="008204A1">
        <w:rPr>
          <w:rFonts w:cstheme="majorBidi"/>
        </w:rPr>
        <w:t xml:space="preserve">. </w:t>
      </w:r>
      <w:r w:rsidR="008204A1" w:rsidRPr="00D22C7C">
        <w:rPr>
          <w:rFonts w:cstheme="majorBidi"/>
          <w:noProof/>
        </w:rPr>
        <w:t>We assessed the quality of the retrieved studies according to the</w:t>
      </w:r>
      <w:r w:rsidR="008204A1" w:rsidRPr="00D22C7C">
        <w:rPr>
          <w:rFonts w:cstheme="majorBidi"/>
        </w:rPr>
        <w:t xml:space="preserve"> Newcastle–Ottawa Quality Assessment Scale developed for cohort studies and the modified version </w:t>
      </w:r>
      <w:r w:rsidR="008204A1" w:rsidRPr="00D22C7C">
        <w:rPr>
          <w:rFonts w:cstheme="majorBidi"/>
          <w:noProof/>
        </w:rPr>
        <w:t>designed</w:t>
      </w:r>
      <w:r w:rsidR="008204A1" w:rsidRPr="00D22C7C">
        <w:rPr>
          <w:rFonts w:cstheme="majorBidi"/>
        </w:rPr>
        <w:t xml:space="preserve"> for cross-sectional studies.</w:t>
      </w:r>
      <w:r w:rsidR="00432F64">
        <w:rPr>
          <w:rFonts w:asciiTheme="majorBidi" w:hAnsiTheme="majorBidi" w:cstheme="majorBidi"/>
          <w:b/>
          <w:bCs/>
          <w:bdr w:val="none" w:sz="0" w:space="0" w:color="auto" w:frame="1"/>
        </w:rPr>
        <w:t xml:space="preserve"> </w:t>
      </w:r>
      <w:r w:rsidR="008204A1">
        <w:rPr>
          <w:rStyle w:val="Strong"/>
        </w:rPr>
        <w:t xml:space="preserve">Results: </w:t>
      </w:r>
      <w:r w:rsidR="008204A1">
        <w:rPr>
          <w:rFonts w:cstheme="majorBidi"/>
        </w:rPr>
        <w:t>Fifty-one studies</w:t>
      </w:r>
      <w:r w:rsidR="008204A1">
        <w:rPr>
          <w:rFonts w:cstheme="majorBidi"/>
          <w:noProof/>
        </w:rPr>
        <w:t xml:space="preserve"> </w:t>
      </w:r>
      <w:r w:rsidR="008204A1" w:rsidRPr="00B04583">
        <w:rPr>
          <w:rFonts w:cstheme="majorBidi"/>
          <w:noProof/>
        </w:rPr>
        <w:t>were included</w:t>
      </w:r>
      <w:r w:rsidR="008204A1">
        <w:rPr>
          <w:rFonts w:cstheme="majorBidi"/>
        </w:rPr>
        <w:t xml:space="preserve"> in our systematic review. </w:t>
      </w:r>
      <w:r w:rsidR="008204A1">
        <w:rPr>
          <w:rFonts w:cstheme="majorBidi"/>
          <w:bCs/>
        </w:rPr>
        <w:t xml:space="preserve">The prevalence rates of SCD varied from 0.2 to </w:t>
      </w:r>
      <w:r w:rsidR="008204A1">
        <w:rPr>
          <w:rFonts w:cstheme="majorBidi"/>
        </w:rPr>
        <w:t>21</w:t>
      </w:r>
      <w:r w:rsidR="008204A1">
        <w:rPr>
          <w:rFonts w:cstheme="majorBidi"/>
          <w:bCs/>
        </w:rPr>
        <w:t xml:space="preserve">%. </w:t>
      </w:r>
      <w:r w:rsidR="008204A1">
        <w:rPr>
          <w:rFonts w:cstheme="majorBidi"/>
        </w:rPr>
        <w:t xml:space="preserve">The </w:t>
      </w:r>
      <w:r w:rsidR="008204A1">
        <w:rPr>
          <w:rFonts w:cstheme="majorBidi"/>
          <w:noProof/>
        </w:rPr>
        <w:t xml:space="preserve">most </w:t>
      </w:r>
      <w:r w:rsidR="008204A1" w:rsidRPr="00B04583">
        <w:rPr>
          <w:rFonts w:cstheme="majorBidi"/>
          <w:noProof/>
        </w:rPr>
        <w:t>frequent</w:t>
      </w:r>
      <w:r w:rsidR="008204A1">
        <w:rPr>
          <w:rFonts w:cstheme="majorBidi"/>
        </w:rPr>
        <w:t xml:space="preserve"> risk factor was consanguineous marriage. The most common SCD-associated complications reported were acute chest syndrome, </w:t>
      </w:r>
      <w:r w:rsidR="008204A1">
        <w:rPr>
          <w:rFonts w:cstheme="majorBidi"/>
          <w:noProof/>
        </w:rPr>
        <w:t>hemolytic</w:t>
      </w:r>
      <w:r w:rsidR="008204A1">
        <w:rPr>
          <w:rFonts w:cstheme="majorBidi"/>
        </w:rPr>
        <w:t xml:space="preserve"> crisis, pain crisis, and infections. </w:t>
      </w:r>
      <w:r w:rsidR="008204A1">
        <w:rPr>
          <w:rFonts w:cstheme="majorBidi"/>
          <w:bCs/>
        </w:rPr>
        <w:t xml:space="preserve">The incidence rates of </w:t>
      </w:r>
      <w:r w:rsidR="008204A1">
        <w:rPr>
          <w:rFonts w:cstheme="majorBidi"/>
          <w:bCs/>
          <w:noProof/>
        </w:rPr>
        <w:t>hemolytic</w:t>
      </w:r>
      <w:r w:rsidR="008204A1">
        <w:rPr>
          <w:rFonts w:cstheme="majorBidi"/>
          <w:bCs/>
        </w:rPr>
        <w:t xml:space="preserve"> crisis ranged from 4.46% to 100%. The highest </w:t>
      </w:r>
      <w:r w:rsidR="008204A1">
        <w:rPr>
          <w:rFonts w:cstheme="majorBidi"/>
          <w:bCs/>
          <w:noProof/>
        </w:rPr>
        <w:t>incidence</w:t>
      </w:r>
      <w:r w:rsidR="008204A1">
        <w:rPr>
          <w:rFonts w:cstheme="majorBidi"/>
          <w:bCs/>
        </w:rPr>
        <w:t xml:space="preserve"> rate of </w:t>
      </w:r>
      <w:r w:rsidR="008204A1">
        <w:rPr>
          <w:rFonts w:cstheme="majorBidi"/>
          <w:bCs/>
          <w:noProof/>
        </w:rPr>
        <w:t>the pain</w:t>
      </w:r>
      <w:r w:rsidR="008204A1">
        <w:rPr>
          <w:rFonts w:cstheme="majorBidi"/>
          <w:bCs/>
        </w:rPr>
        <w:t xml:space="preserve"> crisis </w:t>
      </w:r>
      <w:r w:rsidR="008204A1" w:rsidRPr="00B04583">
        <w:rPr>
          <w:rFonts w:cstheme="majorBidi"/>
          <w:bCs/>
          <w:noProof/>
        </w:rPr>
        <w:t>was reported</w:t>
      </w:r>
      <w:r w:rsidR="008204A1">
        <w:rPr>
          <w:rFonts w:cstheme="majorBidi"/>
          <w:bCs/>
        </w:rPr>
        <w:t xml:space="preserve"> in </w:t>
      </w:r>
      <w:proofErr w:type="spellStart"/>
      <w:r w:rsidR="008204A1">
        <w:rPr>
          <w:rFonts w:cstheme="majorBidi"/>
          <w:bCs/>
        </w:rPr>
        <w:t>Alsultan</w:t>
      </w:r>
      <w:proofErr w:type="spellEnd"/>
      <w:r w:rsidR="008204A1">
        <w:rPr>
          <w:rFonts w:cstheme="majorBidi"/>
          <w:bCs/>
        </w:rPr>
        <w:t xml:space="preserve"> et al., 2012 (</w:t>
      </w:r>
      <w:r w:rsidR="008204A1">
        <w:rPr>
          <w:rFonts w:eastAsia="Times New Roman" w:cstheme="majorBidi"/>
          <w:lang w:eastAsia="zh-CN"/>
        </w:rPr>
        <w:t>96%).</w:t>
      </w:r>
      <w:r w:rsidR="008204A1">
        <w:rPr>
          <w:rFonts w:cstheme="majorBidi"/>
          <w:bCs/>
        </w:rPr>
        <w:t xml:space="preserve"> The </w:t>
      </w:r>
      <w:r w:rsidR="008204A1" w:rsidRPr="005A0107">
        <w:rPr>
          <w:rFonts w:cstheme="majorBidi"/>
          <w:bCs/>
          <w:noProof/>
        </w:rPr>
        <w:t>rates</w:t>
      </w:r>
      <w:r w:rsidR="008204A1">
        <w:rPr>
          <w:rFonts w:cstheme="majorBidi"/>
          <w:bCs/>
        </w:rPr>
        <w:t xml:space="preserve"> of acute chest syndrome ranged from 1% up to 100%. </w:t>
      </w:r>
      <w:r w:rsidR="008204A1">
        <w:rPr>
          <w:rFonts w:cstheme="majorBidi"/>
        </w:rPr>
        <w:t xml:space="preserve">Various types of </w:t>
      </w:r>
      <w:r w:rsidR="008204A1">
        <w:rPr>
          <w:rFonts w:cstheme="majorBidi"/>
          <w:noProof/>
        </w:rPr>
        <w:t>infections,</w:t>
      </w:r>
      <w:r w:rsidR="008204A1">
        <w:rPr>
          <w:rFonts w:cstheme="majorBidi"/>
        </w:rPr>
        <w:t xml:space="preserve"> such as upper and lower respiratory tract infections </w:t>
      </w:r>
      <w:r w:rsidR="008204A1" w:rsidRPr="00B04583">
        <w:rPr>
          <w:rFonts w:cstheme="majorBidi"/>
          <w:noProof/>
        </w:rPr>
        <w:t>were reported</w:t>
      </w:r>
      <w:r w:rsidR="008204A1">
        <w:rPr>
          <w:rFonts w:cstheme="majorBidi"/>
        </w:rPr>
        <w:t xml:space="preserve">. The </w:t>
      </w:r>
      <w:r w:rsidR="008204A1">
        <w:rPr>
          <w:rFonts w:cstheme="majorBidi"/>
          <w:noProof/>
        </w:rPr>
        <w:t>mortality rate</w:t>
      </w:r>
      <w:r w:rsidR="008204A1">
        <w:rPr>
          <w:rFonts w:cstheme="majorBidi"/>
        </w:rPr>
        <w:t xml:space="preserve"> ranged between 0.4% and 28.7%. The incidence rate of the </w:t>
      </w:r>
      <w:proofErr w:type="spellStart"/>
      <w:r w:rsidR="008204A1">
        <w:rPr>
          <w:rFonts w:cstheme="majorBidi"/>
        </w:rPr>
        <w:t>vaso</w:t>
      </w:r>
      <w:proofErr w:type="spellEnd"/>
      <w:r w:rsidR="008204A1">
        <w:rPr>
          <w:rFonts w:cstheme="majorBidi"/>
        </w:rPr>
        <w:t xml:space="preserve">-occlusive crisis ranged between 21% and 98. </w:t>
      </w:r>
      <w:r w:rsidR="008204A1">
        <w:rPr>
          <w:rStyle w:val="Strong"/>
        </w:rPr>
        <w:t xml:space="preserve">Conclusions: </w:t>
      </w:r>
      <w:r w:rsidR="00432F64" w:rsidRPr="00F07A19">
        <w:rPr>
          <w:rFonts w:cstheme="majorBidi"/>
          <w:noProof/>
        </w:rPr>
        <w:t xml:space="preserve">SCD </w:t>
      </w:r>
      <w:r w:rsidR="00432F64" w:rsidRPr="00B04583">
        <w:rPr>
          <w:rFonts w:cstheme="majorBidi"/>
          <w:noProof/>
        </w:rPr>
        <w:t xml:space="preserve">is </w:t>
      </w:r>
      <w:r w:rsidR="00432F64" w:rsidRPr="005A0107">
        <w:rPr>
          <w:rFonts w:cstheme="majorBidi"/>
          <w:noProof/>
        </w:rPr>
        <w:t>largely underestimated</w:t>
      </w:r>
      <w:r w:rsidR="00432F64" w:rsidRPr="00F07A19">
        <w:rPr>
          <w:rFonts w:cstheme="majorBidi"/>
          <w:noProof/>
        </w:rPr>
        <w:t xml:space="preserve"> in GCC</w:t>
      </w:r>
      <w:r w:rsidR="00432F64">
        <w:rPr>
          <w:rFonts w:cstheme="majorBidi"/>
          <w:noProof/>
        </w:rPr>
        <w:t xml:space="preserve"> </w:t>
      </w:r>
      <w:r w:rsidR="00432F64" w:rsidRPr="00F07A19">
        <w:rPr>
          <w:rFonts w:cstheme="majorBidi"/>
          <w:noProof/>
        </w:rPr>
        <w:t xml:space="preserve">countries due to </w:t>
      </w:r>
      <w:r w:rsidR="00432F64">
        <w:rPr>
          <w:rFonts w:cstheme="majorBidi"/>
          <w:noProof/>
        </w:rPr>
        <w:t xml:space="preserve">the </w:t>
      </w:r>
      <w:r w:rsidR="00432F64" w:rsidRPr="00E701BB">
        <w:rPr>
          <w:rFonts w:cstheme="majorBidi"/>
          <w:noProof/>
        </w:rPr>
        <w:t>lack</w:t>
      </w:r>
      <w:r w:rsidR="00432F64">
        <w:rPr>
          <w:rFonts w:cstheme="majorBidi"/>
          <w:noProof/>
        </w:rPr>
        <w:t xml:space="preserve"> </w:t>
      </w:r>
      <w:r w:rsidR="00432F64" w:rsidRPr="00F07A19">
        <w:rPr>
          <w:rFonts w:cstheme="majorBidi"/>
          <w:noProof/>
        </w:rPr>
        <w:t xml:space="preserve">of a nationalized disease prevention strategy. Our study on </w:t>
      </w:r>
      <w:r w:rsidR="00432F64">
        <w:rPr>
          <w:rFonts w:cstheme="majorBidi"/>
          <w:noProof/>
        </w:rPr>
        <w:t xml:space="preserve">the </w:t>
      </w:r>
      <w:r w:rsidR="00432F64" w:rsidRPr="00E701BB">
        <w:rPr>
          <w:rFonts w:cstheme="majorBidi"/>
          <w:noProof/>
        </w:rPr>
        <w:t>epidemiology</w:t>
      </w:r>
      <w:r w:rsidR="00432F64" w:rsidRPr="00F07A19">
        <w:rPr>
          <w:rFonts w:cstheme="majorBidi"/>
          <w:noProof/>
        </w:rPr>
        <w:t xml:space="preserve"> of this disease will facilitate appropriate care to the patients suffering from this disease and help in assessing the hidden burden of disease in the form of lifelong care and preventive strategies to avoid the persistence of </w:t>
      </w:r>
      <w:r w:rsidR="00432F64" w:rsidRPr="005A0107">
        <w:rPr>
          <w:rFonts w:cstheme="majorBidi"/>
          <w:noProof/>
        </w:rPr>
        <w:t>disease</w:t>
      </w:r>
      <w:r w:rsidR="00432F64" w:rsidRPr="00F07A19">
        <w:rPr>
          <w:rFonts w:cstheme="majorBidi"/>
          <w:noProof/>
        </w:rPr>
        <w:t xml:space="preserve"> through generations.</w:t>
      </w:r>
      <w:r w:rsidR="00432F64">
        <w:rPr>
          <w:rFonts w:cstheme="majorBidi"/>
          <w:noProof/>
        </w:rPr>
        <w:t xml:space="preserve"> </w:t>
      </w:r>
      <w:r w:rsidR="00432F64" w:rsidRPr="00F07A19">
        <w:rPr>
          <w:rFonts w:cstheme="majorBidi"/>
          <w:noProof/>
        </w:rPr>
        <w:t xml:space="preserve">Empowering various health care centers right from primary to </w:t>
      </w:r>
      <w:r w:rsidR="00432F64" w:rsidRPr="00B04583">
        <w:rPr>
          <w:rFonts w:cstheme="majorBidi"/>
          <w:noProof/>
        </w:rPr>
        <w:t>tertiary</w:t>
      </w:r>
      <w:r w:rsidR="00432F64" w:rsidRPr="00F07A19">
        <w:rPr>
          <w:rFonts w:cstheme="majorBidi"/>
          <w:noProof/>
        </w:rPr>
        <w:t xml:space="preserve"> ones with </w:t>
      </w:r>
      <w:r w:rsidR="00432F64" w:rsidRPr="00E701BB">
        <w:rPr>
          <w:rFonts w:cstheme="majorBidi"/>
          <w:noProof/>
        </w:rPr>
        <w:t>state of</w:t>
      </w:r>
      <w:r w:rsidR="00432F64">
        <w:rPr>
          <w:rFonts w:cstheme="majorBidi"/>
          <w:noProof/>
        </w:rPr>
        <w:t xml:space="preserve"> the</w:t>
      </w:r>
      <w:r w:rsidR="00432F64" w:rsidRPr="00E701BB">
        <w:rPr>
          <w:rFonts w:cstheme="majorBidi"/>
          <w:noProof/>
        </w:rPr>
        <w:t xml:space="preserve"> art</w:t>
      </w:r>
      <w:r w:rsidR="00432F64" w:rsidRPr="00F07A19">
        <w:rPr>
          <w:rFonts w:cstheme="majorBidi"/>
          <w:noProof/>
        </w:rPr>
        <w:t xml:space="preserve"> facilities and particular emphasis on </w:t>
      </w:r>
      <w:r w:rsidR="00B04583">
        <w:rPr>
          <w:rFonts w:cstheme="majorBidi"/>
          <w:noProof/>
        </w:rPr>
        <w:t xml:space="preserve">the </w:t>
      </w:r>
      <w:r w:rsidR="00432F64" w:rsidRPr="00B04583">
        <w:rPr>
          <w:rFonts w:cstheme="majorBidi"/>
          <w:noProof/>
        </w:rPr>
        <w:t>preventive</w:t>
      </w:r>
      <w:r w:rsidR="00432F64" w:rsidRPr="00F07A19">
        <w:rPr>
          <w:rFonts w:cstheme="majorBidi"/>
          <w:noProof/>
        </w:rPr>
        <w:t xml:space="preserve"> medicine approach in SCD will </w:t>
      </w:r>
      <w:r w:rsidR="00432F64" w:rsidRPr="005A0107">
        <w:rPr>
          <w:rFonts w:cstheme="majorBidi"/>
          <w:noProof/>
        </w:rPr>
        <w:t>largely</w:t>
      </w:r>
      <w:r w:rsidR="00432F64" w:rsidRPr="00F07A19">
        <w:rPr>
          <w:rFonts w:cstheme="majorBidi"/>
          <w:noProof/>
        </w:rPr>
        <w:t xml:space="preserve"> alleviate the patient suffering. Capacity building exercise of the </w:t>
      </w:r>
      <w:r w:rsidR="00432F64" w:rsidRPr="005A0107">
        <w:rPr>
          <w:rFonts w:cstheme="majorBidi"/>
          <w:noProof/>
        </w:rPr>
        <w:t>health care services delivery systems</w:t>
      </w:r>
      <w:r w:rsidR="00432F64" w:rsidRPr="00F07A19">
        <w:rPr>
          <w:rFonts w:cstheme="majorBidi"/>
          <w:noProof/>
        </w:rPr>
        <w:t>(</w:t>
      </w:r>
      <w:r w:rsidR="00432F64" w:rsidRPr="00E701BB">
        <w:rPr>
          <w:rFonts w:cstheme="majorBidi"/>
          <w:noProof/>
        </w:rPr>
        <w:t>e.g.</w:t>
      </w:r>
      <w:r w:rsidR="00432F64">
        <w:rPr>
          <w:rFonts w:cstheme="majorBidi"/>
          <w:noProof/>
        </w:rPr>
        <w:t>,</w:t>
      </w:r>
      <w:r w:rsidR="00432F64" w:rsidRPr="00F07A19">
        <w:rPr>
          <w:rFonts w:cstheme="majorBidi"/>
          <w:noProof/>
        </w:rPr>
        <w:t xml:space="preserve"> by creating a national SCD center) should be undertaken at </w:t>
      </w:r>
      <w:r w:rsidR="00432F64">
        <w:rPr>
          <w:rFonts w:cstheme="majorBidi"/>
          <w:noProof/>
        </w:rPr>
        <w:t xml:space="preserve">the </w:t>
      </w:r>
      <w:r w:rsidR="00432F64" w:rsidRPr="00E701BB">
        <w:rPr>
          <w:rFonts w:cstheme="majorBidi"/>
          <w:noProof/>
        </w:rPr>
        <w:t>national</w:t>
      </w:r>
      <w:r w:rsidR="00432F64" w:rsidRPr="00F07A19">
        <w:rPr>
          <w:rFonts w:cstheme="majorBidi"/>
          <w:noProof/>
        </w:rPr>
        <w:t xml:space="preserve"> level to provide patients with appropriate care. More funds need to mobilized both for </w:t>
      </w:r>
      <w:r w:rsidR="00432F64" w:rsidRPr="005A0107">
        <w:rPr>
          <w:rFonts w:cstheme="majorBidi"/>
          <w:noProof/>
        </w:rPr>
        <w:t>prophylaxis</w:t>
      </w:r>
      <w:r w:rsidR="00432F64" w:rsidRPr="00F07A19">
        <w:rPr>
          <w:rFonts w:cstheme="majorBidi"/>
          <w:noProof/>
        </w:rPr>
        <w:t xml:space="preserve"> and treatment of this disease from assigned health care funds each year.  </w:t>
      </w:r>
    </w:p>
    <w:p w:rsidR="00C83B3F" w:rsidRDefault="00C83B3F"/>
    <w:sectPr w:rsidR="00C83B3F" w:rsidSect="00DF516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943272"/>
    <w:multiLevelType w:val="multilevel"/>
    <w:tmpl w:val="D430E1D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xMjMzNDGysDSwMDRS0lEKTi0uzszPAykwrAUAsrqxESwAAAA="/>
  </w:docVars>
  <w:rsids>
    <w:rsidRoot w:val="008204A1"/>
    <w:rsid w:val="00030AF2"/>
    <w:rsid w:val="00432F64"/>
    <w:rsid w:val="005A0107"/>
    <w:rsid w:val="005B5279"/>
    <w:rsid w:val="007655FA"/>
    <w:rsid w:val="008204A1"/>
    <w:rsid w:val="00B04583"/>
    <w:rsid w:val="00C83B3F"/>
    <w:rsid w:val="00DF5168"/>
    <w:rsid w:val="00F965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916DC"/>
  <w15:chartTrackingRefBased/>
  <w15:docId w15:val="{61222CDE-2B86-48E3-A38E-BD671D1B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4A1"/>
    <w:pPr>
      <w:spacing w:line="256" w:lineRule="auto"/>
    </w:pPr>
    <w:rPr>
      <w:rFonts w:asciiTheme="majorBidi" w:hAnsiTheme="majorBidi"/>
      <w:sz w:val="24"/>
    </w:rPr>
  </w:style>
  <w:style w:type="paragraph" w:styleId="Heading1">
    <w:name w:val="heading 1"/>
    <w:basedOn w:val="Normal"/>
    <w:next w:val="Normal"/>
    <w:link w:val="Heading1Char"/>
    <w:uiPriority w:val="9"/>
    <w:qFormat/>
    <w:rsid w:val="005B5279"/>
    <w:pPr>
      <w:keepNext/>
      <w:keepLines/>
      <w:numPr>
        <w:numId w:val="1"/>
      </w:numPr>
      <w:spacing w:before="240" w:after="0" w:line="259" w:lineRule="auto"/>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B5279"/>
    <w:pPr>
      <w:keepNext/>
      <w:keepLines/>
      <w:numPr>
        <w:ilvl w:val="1"/>
        <w:numId w:val="1"/>
      </w:numPr>
      <w:spacing w:before="40" w:after="0" w:line="259"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B5279"/>
    <w:pPr>
      <w:keepNext/>
      <w:keepLines/>
      <w:numPr>
        <w:ilvl w:val="2"/>
        <w:numId w:val="1"/>
      </w:numPr>
      <w:spacing w:before="40" w:after="0" w:line="259" w:lineRule="auto"/>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5B5279"/>
    <w:pPr>
      <w:keepNext/>
      <w:keepLines/>
      <w:numPr>
        <w:ilvl w:val="3"/>
        <w:numId w:val="1"/>
      </w:numPr>
      <w:spacing w:before="40" w:after="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B5279"/>
    <w:pPr>
      <w:keepNext/>
      <w:keepLines/>
      <w:numPr>
        <w:ilvl w:val="4"/>
        <w:numId w:val="1"/>
      </w:numPr>
      <w:spacing w:before="40" w:after="0" w:line="259"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B5279"/>
    <w:pPr>
      <w:keepNext/>
      <w:keepLines/>
      <w:numPr>
        <w:ilvl w:val="5"/>
        <w:numId w:val="1"/>
      </w:numPr>
      <w:spacing w:before="40" w:after="0" w:line="259" w:lineRule="auto"/>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B5279"/>
    <w:pPr>
      <w:keepNext/>
      <w:keepLines/>
      <w:numPr>
        <w:ilvl w:val="6"/>
        <w:numId w:val="1"/>
      </w:numPr>
      <w:spacing w:before="40" w:after="0" w:line="259" w:lineRule="auto"/>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B5279"/>
    <w:pPr>
      <w:keepNext/>
      <w:keepLines/>
      <w:numPr>
        <w:ilvl w:val="7"/>
        <w:numId w:val="1"/>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B5279"/>
    <w:pPr>
      <w:keepNext/>
      <w:keepLines/>
      <w:numPr>
        <w:ilvl w:val="8"/>
        <w:numId w:val="1"/>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8204A1"/>
    <w:pPr>
      <w:spacing w:line="240" w:lineRule="auto"/>
    </w:pPr>
    <w:rPr>
      <w:sz w:val="20"/>
      <w:szCs w:val="20"/>
    </w:rPr>
  </w:style>
  <w:style w:type="character" w:customStyle="1" w:styleId="CommentTextChar">
    <w:name w:val="Comment Text Char"/>
    <w:basedOn w:val="DefaultParagraphFont"/>
    <w:link w:val="CommentText"/>
    <w:uiPriority w:val="99"/>
    <w:semiHidden/>
    <w:rsid w:val="008204A1"/>
    <w:rPr>
      <w:rFonts w:asciiTheme="majorBidi" w:hAnsiTheme="majorBidi"/>
      <w:sz w:val="20"/>
      <w:szCs w:val="20"/>
    </w:rPr>
  </w:style>
  <w:style w:type="paragraph" w:styleId="ListParagraph">
    <w:name w:val="List Paragraph"/>
    <w:basedOn w:val="Normal"/>
    <w:uiPriority w:val="34"/>
    <w:qFormat/>
    <w:rsid w:val="008204A1"/>
    <w:pPr>
      <w:ind w:left="720"/>
      <w:contextualSpacing/>
    </w:pPr>
  </w:style>
  <w:style w:type="paragraph" w:customStyle="1" w:styleId="Default">
    <w:name w:val="Default"/>
    <w:rsid w:val="008204A1"/>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204A1"/>
    <w:rPr>
      <w:b/>
      <w:bCs/>
    </w:rPr>
  </w:style>
  <w:style w:type="character" w:customStyle="1" w:styleId="Heading1Char">
    <w:name w:val="Heading 1 Char"/>
    <w:basedOn w:val="DefaultParagraphFont"/>
    <w:link w:val="Heading1"/>
    <w:uiPriority w:val="9"/>
    <w:rsid w:val="005B5279"/>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B5279"/>
    <w:rPr>
      <w:rFonts w:asciiTheme="majorBidi" w:eastAsiaTheme="majorEastAsia" w:hAnsiTheme="majorBidi" w:cstheme="majorBidi"/>
      <w:b/>
      <w:sz w:val="24"/>
      <w:szCs w:val="26"/>
    </w:rPr>
  </w:style>
  <w:style w:type="character" w:customStyle="1" w:styleId="Heading3Char">
    <w:name w:val="Heading 3 Char"/>
    <w:basedOn w:val="DefaultParagraphFont"/>
    <w:link w:val="Heading3"/>
    <w:uiPriority w:val="9"/>
    <w:rsid w:val="005B5279"/>
    <w:rPr>
      <w:rFonts w:asciiTheme="majorBidi" w:eastAsiaTheme="majorEastAsia" w:hAnsiTheme="majorBidi" w:cstheme="majorBidi"/>
      <w:b/>
      <w:sz w:val="24"/>
      <w:szCs w:val="24"/>
    </w:rPr>
  </w:style>
  <w:style w:type="character" w:customStyle="1" w:styleId="Heading4Char">
    <w:name w:val="Heading 4 Char"/>
    <w:basedOn w:val="DefaultParagraphFont"/>
    <w:link w:val="Heading4"/>
    <w:uiPriority w:val="9"/>
    <w:semiHidden/>
    <w:rsid w:val="005B527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5B527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5B5279"/>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5B5279"/>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5B527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B527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27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KFMC</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 K. Abu Shaheen</dc:creator>
  <cp:keywords/>
  <dc:description/>
  <cp:lastModifiedBy>Amani K. Abu Shaheen</cp:lastModifiedBy>
  <cp:revision>6</cp:revision>
  <dcterms:created xsi:type="dcterms:W3CDTF">2019-12-10T04:42:00Z</dcterms:created>
  <dcterms:modified xsi:type="dcterms:W3CDTF">2019-12-10T04:46:00Z</dcterms:modified>
</cp:coreProperties>
</file>