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B9C" w:rsidRDefault="00034AB5">
      <w:r w:rsidRPr="00A3013D">
        <w:rPr>
          <w:b/>
        </w:rPr>
        <w:t>Title:</w:t>
      </w:r>
      <w:r>
        <w:t xml:space="preserve"> </w:t>
      </w:r>
      <w:r w:rsidR="00600B9C">
        <w:t>Epidemiology as the Driver of Transdi</w:t>
      </w:r>
      <w:r w:rsidR="008F14A7">
        <w:t xml:space="preserve">sciplinary Evaluation: Is </w:t>
      </w:r>
      <w:r w:rsidR="005419C1">
        <w:t>S</w:t>
      </w:r>
      <w:r w:rsidR="008F14A7">
        <w:t xml:space="preserve">tarts </w:t>
      </w:r>
      <w:r w:rsidR="00600B9C">
        <w:t xml:space="preserve">with </w:t>
      </w:r>
      <w:r w:rsidR="005419C1">
        <w:t>E</w:t>
      </w:r>
      <w:r w:rsidR="00600B9C">
        <w:t>ducation!</w:t>
      </w:r>
    </w:p>
    <w:p w:rsidR="00034AB5" w:rsidRDefault="00034AB5">
      <w:r w:rsidRPr="00A3013D">
        <w:rPr>
          <w:b/>
        </w:rPr>
        <w:t>Authors:</w:t>
      </w:r>
      <w:r>
        <w:t xml:space="preserve"> Evashwick, Connie, Harrison, Roger, Grivna, M, Perkio, Mikko</w:t>
      </w:r>
      <w:r w:rsidR="00A3013D">
        <w:t>,</w:t>
      </w:r>
      <w:r w:rsidR="00A3013D" w:rsidRPr="00A3013D">
        <w:t xml:space="preserve"> </w:t>
      </w:r>
      <w:r w:rsidR="00A3013D">
        <w:t>Tao, Donghua,</w:t>
      </w:r>
    </w:p>
    <w:p w:rsidR="00034AB5" w:rsidRDefault="00034AB5">
      <w:r>
        <w:t>Connie Evashwick, ScD, FACHE, United States</w:t>
      </w:r>
    </w:p>
    <w:p w:rsidR="00034AB5" w:rsidRDefault="00034AB5">
      <w:r>
        <w:t xml:space="preserve">Roger Harrison, MFPH (UK), </w:t>
      </w:r>
      <w:r w:rsidR="00534FDC">
        <w:t xml:space="preserve">SFHEA, </w:t>
      </w:r>
      <w:r>
        <w:t>University of Manchester, UK</w:t>
      </w:r>
    </w:p>
    <w:p w:rsidR="00034AB5" w:rsidRDefault="00034AB5">
      <w:r>
        <w:t xml:space="preserve">Michal Grivna, MD, PhD, </w:t>
      </w:r>
      <w:r w:rsidR="00534FDC">
        <w:t xml:space="preserve">MPH, FFPH, </w:t>
      </w:r>
      <w:r>
        <w:t>United Arab Emirates University, UAE</w:t>
      </w:r>
    </w:p>
    <w:p w:rsidR="00034AB5" w:rsidRDefault="00034AB5">
      <w:r>
        <w:t>Donghua Tao, PhD, M</w:t>
      </w:r>
      <w:r w:rsidR="00534FDC">
        <w:t>A</w:t>
      </w:r>
      <w:r>
        <w:t>, M</w:t>
      </w:r>
      <w:r w:rsidR="00534FDC">
        <w:t>S</w:t>
      </w:r>
      <w:r>
        <w:t>, St. Louis University, United States</w:t>
      </w:r>
    </w:p>
    <w:p w:rsidR="00034AB5" w:rsidRDefault="00034AB5">
      <w:r>
        <w:t xml:space="preserve">Mikko Perkio, PhD, </w:t>
      </w:r>
      <w:r w:rsidR="00534FDC">
        <w:t>Tampere University</w:t>
      </w:r>
      <w:r>
        <w:t>, Finland</w:t>
      </w:r>
    </w:p>
    <w:p w:rsidR="00034AB5" w:rsidRDefault="00034AB5"/>
    <w:p w:rsidR="00034AB5" w:rsidRPr="00A3013D" w:rsidRDefault="00034AB5">
      <w:pPr>
        <w:rPr>
          <w:b/>
        </w:rPr>
      </w:pPr>
      <w:r w:rsidRPr="00A3013D">
        <w:rPr>
          <w:b/>
        </w:rPr>
        <w:t>Abstract</w:t>
      </w:r>
      <w:r w:rsidR="00A3013D">
        <w:rPr>
          <w:b/>
        </w:rPr>
        <w:t xml:space="preserve"> </w:t>
      </w:r>
      <w:r w:rsidR="00A3013D" w:rsidRPr="00A3013D">
        <w:t>(300 words)</w:t>
      </w:r>
    </w:p>
    <w:p w:rsidR="00600B9C" w:rsidRDefault="00600B9C">
      <w:r>
        <w:t xml:space="preserve">Epidemiology is central to public health. Without the study of the health of populations and communities, public health cannot be effective in preventing, ameliorating, or eradicating diseases. Three recent studies by our research team </w:t>
      </w:r>
      <w:r w:rsidR="005419C1">
        <w:t xml:space="preserve">suggest </w:t>
      </w:r>
      <w:r>
        <w:t>how epidemiology might enhance its role as the driver of transdisciplinary research and evaluation.</w:t>
      </w:r>
    </w:p>
    <w:p w:rsidR="00600B9C" w:rsidRDefault="00600B9C">
      <w:r>
        <w:t xml:space="preserve">Our first study was a review of the literature pertaining to the education of the </w:t>
      </w:r>
      <w:r w:rsidR="006C41B7">
        <w:t xml:space="preserve">public health </w:t>
      </w:r>
      <w:r>
        <w:t>workforce. We foun</w:t>
      </w:r>
      <w:r w:rsidR="006C41B7">
        <w:t xml:space="preserve">d </w:t>
      </w:r>
      <w:r w:rsidR="005419C1">
        <w:t>375</w:t>
      </w:r>
      <w:r w:rsidR="006C41B7">
        <w:t xml:space="preserve"> studies published in peer-</w:t>
      </w:r>
      <w:r>
        <w:t xml:space="preserve">reviewed literature between 2000-2015. </w:t>
      </w:r>
      <w:r w:rsidR="008F14A7">
        <w:t>Only</w:t>
      </w:r>
      <w:r>
        <w:t xml:space="preserve"> a </w:t>
      </w:r>
      <w:r w:rsidR="00AD64A4">
        <w:t>few</w:t>
      </w:r>
      <w:r w:rsidR="006C41B7">
        <w:t xml:space="preserve"> </w:t>
      </w:r>
      <w:r>
        <w:t>articl</w:t>
      </w:r>
      <w:r w:rsidR="008F14A7">
        <w:t>es examined multi- or trans-dis</w:t>
      </w:r>
      <w:r>
        <w:t>ciplinary education. Joint education of epidemiologists and biostatisticians w</w:t>
      </w:r>
      <w:r w:rsidR="009038D3">
        <w:t>as</w:t>
      </w:r>
      <w:r>
        <w:t xml:space="preserve"> reported </w:t>
      </w:r>
      <w:r w:rsidR="006C41B7">
        <w:t>only twice</w:t>
      </w:r>
      <w:r>
        <w:t>.</w:t>
      </w:r>
    </w:p>
    <w:p w:rsidR="00600B9C" w:rsidRDefault="00600B9C">
      <w:r>
        <w:t xml:space="preserve">A second study examined the sub-set of </w:t>
      </w:r>
      <w:r w:rsidR="005419C1">
        <w:t>86</w:t>
      </w:r>
      <w:r w:rsidR="008F14A7">
        <w:t xml:space="preserve"> articles between 2000-2017 </w:t>
      </w:r>
      <w:r>
        <w:t xml:space="preserve">that focused on evaluation of education. </w:t>
      </w:r>
      <w:r w:rsidR="005419C1">
        <w:t>Only five</w:t>
      </w:r>
      <w:r>
        <w:t xml:space="preserve"> studies evaluated education that served more than </w:t>
      </w:r>
      <w:r w:rsidR="00F0444E">
        <w:t>one</w:t>
      </w:r>
      <w:r>
        <w:t xml:space="preserve"> discipline</w:t>
      </w:r>
      <w:r w:rsidR="00C96AB5">
        <w:t xml:space="preserve">. </w:t>
      </w:r>
      <w:r w:rsidR="005419C1">
        <w:t>T</w:t>
      </w:r>
      <w:r w:rsidR="00C96AB5">
        <w:t xml:space="preserve">he methodological sophistication of the evaluations was disappointing. The expertise of epidemiologists in </w:t>
      </w:r>
      <w:r w:rsidR="008D0541">
        <w:t>research methodology</w:t>
      </w:r>
      <w:r w:rsidR="00C96AB5">
        <w:t xml:space="preserve"> was</w:t>
      </w:r>
      <w:r w:rsidR="008D0541">
        <w:t xml:space="preserve"> </w:t>
      </w:r>
      <w:r w:rsidR="00C96AB5">
        <w:t xml:space="preserve">absent. Yet, these evaluations took place in schools of medicine and public health, where epidemiologists are </w:t>
      </w:r>
      <w:r w:rsidR="008D0541">
        <w:t>core</w:t>
      </w:r>
      <w:r w:rsidR="00C96AB5">
        <w:t xml:space="preserve"> faculty</w:t>
      </w:r>
      <w:r w:rsidR="008D0541">
        <w:t xml:space="preserve"> members</w:t>
      </w:r>
      <w:r w:rsidR="00C96AB5">
        <w:t>.</w:t>
      </w:r>
    </w:p>
    <w:p w:rsidR="00C96AB5" w:rsidRDefault="00C96AB5">
      <w:r>
        <w:t xml:space="preserve">The third </w:t>
      </w:r>
      <w:r w:rsidR="008F14A7">
        <w:t>initiative</w:t>
      </w:r>
      <w:r>
        <w:t xml:space="preserve"> </w:t>
      </w:r>
      <w:r w:rsidR="006C41B7">
        <w:t>was a thematic analysis of articles</w:t>
      </w:r>
      <w:r w:rsidR="008D0541">
        <w:t xml:space="preserve"> submitted to a special journal issue</w:t>
      </w:r>
      <w:r w:rsidR="006C41B7">
        <w:t xml:space="preserve"> on contemporary education for healthcare executives around the globe</w:t>
      </w:r>
      <w:r w:rsidR="008D0541">
        <w:t xml:space="preserve">. </w:t>
      </w:r>
      <w:r>
        <w:t xml:space="preserve">Managerial epidemiology or epidemiology applied to </w:t>
      </w:r>
      <w:r w:rsidR="005419C1">
        <w:t>management of population health</w:t>
      </w:r>
      <w:r>
        <w:t xml:space="preserve"> should have appeared…</w:t>
      </w:r>
      <w:r w:rsidR="006C41B7">
        <w:t>..it was not mentioned</w:t>
      </w:r>
      <w:r>
        <w:t>.</w:t>
      </w:r>
    </w:p>
    <w:p w:rsidR="00C96AB5" w:rsidRDefault="00C96AB5">
      <w:r>
        <w:t xml:space="preserve">The implications </w:t>
      </w:r>
      <w:r w:rsidR="008D0541">
        <w:t xml:space="preserve">are </w:t>
      </w:r>
      <w:r>
        <w:t>two-fold. Fir</w:t>
      </w:r>
      <w:r w:rsidR="008D0541">
        <w:t xml:space="preserve">st, epidemiology needs </w:t>
      </w:r>
      <w:r w:rsidR="00AD64A4">
        <w:t xml:space="preserve">to proactively </w:t>
      </w:r>
      <w:r>
        <w:t xml:space="preserve">share its research skills with other </w:t>
      </w:r>
      <w:r w:rsidR="006C41B7">
        <w:t xml:space="preserve">health </w:t>
      </w:r>
      <w:r>
        <w:t>dis</w:t>
      </w:r>
      <w:r w:rsidR="009038D3">
        <w:t xml:space="preserve">ciplines, </w:t>
      </w:r>
      <w:r w:rsidR="008D0541">
        <w:t>educators as well as practitioners</w:t>
      </w:r>
      <w:r>
        <w:t>. Second, education of public h</w:t>
      </w:r>
      <w:r w:rsidR="00E14B29">
        <w:t xml:space="preserve">ealth professionals needs to teach a transdisciplinary approach to problem-solving, not isolate courses or curricula as “just for epi.” </w:t>
      </w:r>
      <w:r w:rsidR="008F14A7">
        <w:t>The competencies for epidemiology that we are t</w:t>
      </w:r>
      <w:r w:rsidR="008D0541">
        <w:t xml:space="preserve">eaching students do not lead </w:t>
      </w:r>
      <w:r w:rsidR="008F14A7">
        <w:t xml:space="preserve">to the rich interaction and great contribution that epidemiology could make to all health professions disciplines. We need to </w:t>
      </w:r>
      <w:r w:rsidR="00AD64A4">
        <w:t xml:space="preserve">reach in to </w:t>
      </w:r>
      <w:r w:rsidR="008F14A7">
        <w:t>evaluate our education</w:t>
      </w:r>
      <w:r w:rsidR="009038D3">
        <w:t xml:space="preserve"> first,</w:t>
      </w:r>
      <w:r w:rsidR="008F14A7">
        <w:t xml:space="preserve"> then </w:t>
      </w:r>
      <w:r w:rsidR="009038D3">
        <w:t xml:space="preserve">reach out to involve epidemiologists in transdisciplinary </w:t>
      </w:r>
      <w:r w:rsidR="005419C1">
        <w:t xml:space="preserve">education and </w:t>
      </w:r>
      <w:r w:rsidR="009038D3">
        <w:t xml:space="preserve">evaluation of the health challenges confronting the world.  </w:t>
      </w:r>
    </w:p>
    <w:p w:rsidR="00A3013D" w:rsidRDefault="00A3013D">
      <w:pPr>
        <w:rPr>
          <w:b/>
        </w:rPr>
      </w:pPr>
    </w:p>
    <w:p w:rsidR="00A3013D" w:rsidRDefault="00A3013D">
      <w:pPr>
        <w:rPr>
          <w:b/>
        </w:rPr>
      </w:pPr>
    </w:p>
    <w:p w:rsidR="0044281C" w:rsidRPr="00A3013D" w:rsidRDefault="0044281C">
      <w:pPr>
        <w:rPr>
          <w:b/>
        </w:rPr>
      </w:pPr>
      <w:r w:rsidRPr="00A3013D">
        <w:rPr>
          <w:b/>
        </w:rPr>
        <w:lastRenderedPageBreak/>
        <w:t>References</w:t>
      </w:r>
    </w:p>
    <w:p w:rsidR="00182D74" w:rsidRDefault="00182D74" w:rsidP="0044281C">
      <w:pPr>
        <w:tabs>
          <w:tab w:val="left" w:pos="8640"/>
        </w:tabs>
        <w:rPr>
          <w:rFonts w:cstheme="minorHAnsi"/>
        </w:rPr>
      </w:pPr>
      <w:r>
        <w:rPr>
          <w:rFonts w:cstheme="minorHAnsi"/>
        </w:rPr>
        <w:t xml:space="preserve">Brownson, R, Samet, J, Chavez, G, Davies, M, Galea, S, Hiatt, R, Hornung, C, Khoury, M, Koo, D, Mays, V, Remington, P, Yarber, L. Charting a future for epidemiologic training. </w:t>
      </w:r>
      <w:r w:rsidRPr="00182D74">
        <w:rPr>
          <w:rFonts w:cstheme="minorHAnsi"/>
          <w:i/>
        </w:rPr>
        <w:t>Annals of Epidemiology.</w:t>
      </w:r>
      <w:r>
        <w:rPr>
          <w:rFonts w:cstheme="minorHAnsi"/>
        </w:rPr>
        <w:t xml:space="preserve"> 25:2015) 548-465. </w:t>
      </w:r>
    </w:p>
    <w:p w:rsidR="0044281C" w:rsidRDefault="0044281C" w:rsidP="0044281C">
      <w:pPr>
        <w:tabs>
          <w:tab w:val="left" w:pos="8640"/>
        </w:tabs>
        <w:rPr>
          <w:rFonts w:cstheme="minorHAnsi"/>
        </w:rPr>
      </w:pPr>
      <w:r>
        <w:rPr>
          <w:rFonts w:cstheme="minorHAnsi"/>
        </w:rPr>
        <w:t xml:space="preserve">Dao, T, Evashwick, C, Grivna, M, Harrison, R. (2018). Educating the Public Health Workforce: A Scoping Review. </w:t>
      </w:r>
      <w:r>
        <w:rPr>
          <w:rFonts w:cstheme="minorHAnsi"/>
          <w:i/>
        </w:rPr>
        <w:t xml:space="preserve">Frontiers in Public Health Education and Promotion, </w:t>
      </w:r>
      <w:r>
        <w:rPr>
          <w:rFonts w:cstheme="minorHAnsi"/>
          <w:color w:val="020202"/>
          <w:shd w:val="clear" w:color="auto" w:fill="FFFFFF"/>
        </w:rPr>
        <w:t>19 February 2018 | </w:t>
      </w:r>
      <w:r>
        <w:rPr>
          <w:rStyle w:val="Hyperlink"/>
          <w:rFonts w:cstheme="minorHAnsi"/>
          <w:color w:val="D54449"/>
          <w:shd w:val="clear" w:color="auto" w:fill="FFFFFF"/>
        </w:rPr>
        <w:t>doi.org/10.3389/fpubh.2018.00027</w:t>
      </w:r>
      <w:r>
        <w:rPr>
          <w:rFonts w:cstheme="minorHAnsi"/>
        </w:rPr>
        <w:t xml:space="preserve"> </w:t>
      </w:r>
    </w:p>
    <w:p w:rsidR="0044281C" w:rsidRDefault="0044281C" w:rsidP="0044281C">
      <w:pPr>
        <w:tabs>
          <w:tab w:val="left" w:pos="8640"/>
        </w:tabs>
        <w:rPr>
          <w:rFonts w:cstheme="minorHAnsi"/>
        </w:rPr>
      </w:pPr>
      <w:r>
        <w:rPr>
          <w:rFonts w:cstheme="minorHAnsi"/>
        </w:rPr>
        <w:t xml:space="preserve">Evashwick, C, Harrison, R, Tao, Donghua, Grivna, M, Perkio, M. (2019)  </w:t>
      </w:r>
      <w:r w:rsidRPr="0044281C">
        <w:t>Evaluation of the Pedagogy for Public Health Professionals: Review of Studies between 2000-2017</w:t>
      </w:r>
      <w:r w:rsidRPr="0044281C">
        <w:t>. Submitted for publication January 2019.</w:t>
      </w:r>
      <w:r>
        <w:rPr>
          <w:b/>
        </w:rPr>
        <w:t xml:space="preserve"> </w:t>
      </w:r>
    </w:p>
    <w:p w:rsidR="0044281C" w:rsidRDefault="0044281C" w:rsidP="0044281C">
      <w:pPr>
        <w:autoSpaceDE w:val="0"/>
        <w:autoSpaceDN w:val="0"/>
        <w:adjustRightInd w:val="0"/>
        <w:spacing w:after="0" w:line="240" w:lineRule="auto"/>
        <w:rPr>
          <w:rFonts w:cstheme="minorHAnsi"/>
        </w:rPr>
      </w:pPr>
      <w:r>
        <w:rPr>
          <w:rFonts w:cstheme="minorHAnsi"/>
        </w:rPr>
        <w:t>Frenk, J. and Chen, L. et al. (2010). Health professions for a new century: transforming</w:t>
      </w:r>
    </w:p>
    <w:p w:rsidR="0044281C" w:rsidRDefault="0044281C" w:rsidP="0044281C">
      <w:pPr>
        <w:autoSpaceDE w:val="0"/>
        <w:autoSpaceDN w:val="0"/>
        <w:adjustRightInd w:val="0"/>
        <w:spacing w:after="0" w:line="240" w:lineRule="auto"/>
        <w:rPr>
          <w:rFonts w:cstheme="minorHAnsi"/>
        </w:rPr>
      </w:pPr>
      <w:r>
        <w:rPr>
          <w:rFonts w:cstheme="minorHAnsi"/>
        </w:rPr>
        <w:t xml:space="preserve">education to strengthen health systems in an interdependent world. </w:t>
      </w:r>
      <w:r>
        <w:rPr>
          <w:rFonts w:cstheme="minorHAnsi"/>
          <w:i/>
          <w:iCs/>
        </w:rPr>
        <w:t xml:space="preserve">The Lancet. </w:t>
      </w:r>
    </w:p>
    <w:p w:rsidR="0044281C" w:rsidRDefault="0044281C" w:rsidP="0044281C">
      <w:pPr>
        <w:tabs>
          <w:tab w:val="left" w:pos="8640"/>
        </w:tabs>
        <w:rPr>
          <w:rFonts w:cstheme="minorHAnsi"/>
        </w:rPr>
      </w:pPr>
      <w:r>
        <w:rPr>
          <w:rFonts w:cstheme="minorHAnsi"/>
        </w:rPr>
        <w:t>366 376:1923-58. doI: 10.1016/S0140-6737(10)61854-5.</w:t>
      </w:r>
    </w:p>
    <w:p w:rsidR="00182D74" w:rsidRDefault="00182D74" w:rsidP="0044281C">
      <w:pPr>
        <w:tabs>
          <w:tab w:val="left" w:pos="8640"/>
        </w:tabs>
        <w:rPr>
          <w:rFonts w:cstheme="minorHAnsi"/>
        </w:rPr>
      </w:pPr>
      <w:r>
        <w:rPr>
          <w:rFonts w:cstheme="minorHAnsi"/>
        </w:rPr>
        <w:t>Interprofessional Education Collaborative. (2016). Core competencies for interprofessional collaborative practice: 2016 update. Washington, DC: Interprofessional Education Collaborative.</w:t>
      </w:r>
    </w:p>
    <w:p w:rsidR="00A3013D" w:rsidRDefault="00A3013D" w:rsidP="0044281C">
      <w:pPr>
        <w:tabs>
          <w:tab w:val="left" w:pos="8640"/>
        </w:tabs>
        <w:rPr>
          <w:rFonts w:cstheme="minorHAnsi"/>
        </w:rPr>
      </w:pPr>
    </w:p>
    <w:p w:rsidR="00A3013D" w:rsidRDefault="00A3013D" w:rsidP="0044281C">
      <w:pPr>
        <w:tabs>
          <w:tab w:val="left" w:pos="8640"/>
        </w:tabs>
        <w:rPr>
          <w:rFonts w:cstheme="minorHAnsi"/>
        </w:rPr>
      </w:pPr>
      <w:r>
        <w:rPr>
          <w:rFonts w:cstheme="minorHAnsi"/>
        </w:rPr>
        <w:t>Bio (150 words)</w:t>
      </w:r>
    </w:p>
    <w:p w:rsidR="007645C5" w:rsidRDefault="00A3013D" w:rsidP="00FC071C">
      <w:pPr>
        <w:widowControl w:val="0"/>
        <w:spacing w:after="0" w:line="240" w:lineRule="auto"/>
        <w:ind w:firstLine="720"/>
        <w:rPr>
          <w:rFonts w:cstheme="minorHAnsi"/>
        </w:rPr>
      </w:pPr>
      <w:r w:rsidRPr="007645C5">
        <w:rPr>
          <w:rFonts w:cstheme="minorHAnsi"/>
        </w:rPr>
        <w:t>Dr. Connie Evashwick is a</w:t>
      </w:r>
      <w:r w:rsidR="007645C5">
        <w:rPr>
          <w:rFonts w:cstheme="minorHAnsi"/>
        </w:rPr>
        <w:t xml:space="preserve"> </w:t>
      </w:r>
      <w:r w:rsidRPr="007645C5">
        <w:rPr>
          <w:rFonts w:cstheme="minorHAnsi"/>
        </w:rPr>
        <w:t xml:space="preserve">healthcare </w:t>
      </w:r>
      <w:r w:rsidR="007645C5">
        <w:rPr>
          <w:rFonts w:cstheme="minorHAnsi"/>
        </w:rPr>
        <w:t>executive</w:t>
      </w:r>
      <w:r w:rsidRPr="007645C5">
        <w:rPr>
          <w:rFonts w:cstheme="minorHAnsi"/>
        </w:rPr>
        <w:t xml:space="preserve"> who thrives at the nexus of management and academia, health care delivery systems and public health. Dr. Evashwick holds a bachelor's and a master's degree from Stanford University and a master's and doctoral degree from the Harvard School of Public Health.  Dr. Evashwick is an Adjunct Professor at George Washington University and at San Diego State University. </w:t>
      </w:r>
      <w:r w:rsidR="007645C5" w:rsidRPr="007645C5">
        <w:rPr>
          <w:rFonts w:cstheme="minorHAnsi"/>
        </w:rPr>
        <w:t xml:space="preserve">She </w:t>
      </w:r>
      <w:r w:rsidR="007645C5">
        <w:rPr>
          <w:rFonts w:cstheme="minorHAnsi"/>
        </w:rPr>
        <w:t xml:space="preserve">has published over 100 articles, </w:t>
      </w:r>
      <w:r w:rsidR="007645C5" w:rsidRPr="007645C5">
        <w:rPr>
          <w:rFonts w:cstheme="minorHAnsi"/>
        </w:rPr>
        <w:t>has just completed her 14</w:t>
      </w:r>
      <w:r w:rsidR="007645C5" w:rsidRPr="007645C5">
        <w:rPr>
          <w:rFonts w:cstheme="minorHAnsi"/>
          <w:vertAlign w:val="superscript"/>
        </w:rPr>
        <w:t>th</w:t>
      </w:r>
      <w:r w:rsidR="007645C5">
        <w:rPr>
          <w:rFonts w:cstheme="minorHAnsi"/>
        </w:rPr>
        <w:t xml:space="preserve"> book, and has been editor of two journals</w:t>
      </w:r>
      <w:r w:rsidR="00FC071C">
        <w:rPr>
          <w:rFonts w:cstheme="minorHAnsi"/>
        </w:rPr>
        <w:t xml:space="preserve">, including </w:t>
      </w:r>
      <w:r w:rsidR="00FC071C" w:rsidRPr="00FC071C">
        <w:rPr>
          <w:rFonts w:cstheme="minorHAnsi"/>
          <w:i/>
        </w:rPr>
        <w:t>Frontiers in Public Health Education and Promotion</w:t>
      </w:r>
      <w:r w:rsidR="007645C5" w:rsidRPr="00FC071C">
        <w:rPr>
          <w:rFonts w:cstheme="minorHAnsi"/>
          <w:i/>
        </w:rPr>
        <w:t>.</w:t>
      </w:r>
      <w:r w:rsidR="007645C5">
        <w:rPr>
          <w:rFonts w:cstheme="minorHAnsi"/>
        </w:rPr>
        <w:t xml:space="preserve"> She served as the </w:t>
      </w:r>
      <w:r w:rsidR="00FC071C">
        <w:rPr>
          <w:rFonts w:cstheme="minorHAnsi"/>
        </w:rPr>
        <w:t>D</w:t>
      </w:r>
      <w:r w:rsidR="007645C5">
        <w:rPr>
          <w:rFonts w:cstheme="minorHAnsi"/>
        </w:rPr>
        <w:t xml:space="preserve">ean of a School of Public Health in the USA and has worked with epidemiologists as faculty, students, and colleagues. Dr. Evashwick has been a Visiting Scholar in six countries and is currently a Visiting Professor at Tampere University. </w:t>
      </w:r>
    </w:p>
    <w:p w:rsidR="00FC071C" w:rsidRDefault="00FC071C" w:rsidP="00FC071C">
      <w:pPr>
        <w:widowControl w:val="0"/>
        <w:spacing w:after="0" w:line="240" w:lineRule="auto"/>
        <w:ind w:firstLine="720"/>
        <w:rPr>
          <w:rFonts w:cstheme="minorHAnsi"/>
        </w:rPr>
      </w:pPr>
      <w:r>
        <w:rPr>
          <w:rFonts w:cstheme="minorHAnsi"/>
        </w:rPr>
        <w:t>T:001-562-673-1607</w:t>
      </w:r>
    </w:p>
    <w:p w:rsidR="00FC071C" w:rsidRPr="007645C5" w:rsidRDefault="00FC071C" w:rsidP="00FC071C">
      <w:pPr>
        <w:widowControl w:val="0"/>
        <w:spacing w:after="0" w:line="240" w:lineRule="auto"/>
        <w:ind w:firstLine="720"/>
        <w:rPr>
          <w:rFonts w:cstheme="minorHAnsi"/>
        </w:rPr>
      </w:pPr>
      <w:r>
        <w:rPr>
          <w:rFonts w:cstheme="minorHAnsi"/>
        </w:rPr>
        <w:t>evashwick@gmail.com</w:t>
      </w:r>
    </w:p>
    <w:p w:rsidR="00A3013D" w:rsidRDefault="00A3013D" w:rsidP="0044281C">
      <w:pPr>
        <w:tabs>
          <w:tab w:val="left" w:pos="8640"/>
        </w:tabs>
        <w:rPr>
          <w:rFonts w:cstheme="minorHAnsi"/>
        </w:rPr>
      </w:pPr>
    </w:p>
    <w:p w:rsidR="0044281C" w:rsidRDefault="00242D1B">
      <w:pPr>
        <w:rPr>
          <w:b/>
        </w:rPr>
      </w:pPr>
      <w:r w:rsidRPr="00A3013D">
        <w:rPr>
          <w:b/>
        </w:rPr>
        <w:t>Authors</w:t>
      </w:r>
      <w:r w:rsidR="00A3013D">
        <w:rPr>
          <w:b/>
        </w:rPr>
        <w:t>’ Details</w:t>
      </w:r>
      <w:r w:rsidRPr="00A3013D">
        <w:rPr>
          <w:b/>
        </w:rPr>
        <w:t>:</w:t>
      </w:r>
    </w:p>
    <w:p w:rsidR="00A3013D" w:rsidRDefault="00A3013D" w:rsidP="00A3013D">
      <w:pPr>
        <w:spacing w:after="0"/>
      </w:pPr>
      <w:r w:rsidRPr="00A3013D">
        <w:t>Connie Evashwick, ScD, FACHE, CAE, CPH</w:t>
      </w:r>
    </w:p>
    <w:p w:rsidR="00A3013D" w:rsidRDefault="00A3013D" w:rsidP="00A3013D">
      <w:pPr>
        <w:spacing w:after="0"/>
      </w:pPr>
      <w:r>
        <w:t>12966 Caminito En Flor</w:t>
      </w:r>
    </w:p>
    <w:p w:rsidR="00A3013D" w:rsidRDefault="00A3013D" w:rsidP="00A3013D">
      <w:pPr>
        <w:spacing w:after="0"/>
      </w:pPr>
      <w:r>
        <w:t>Del Mar, CA 92014, USA</w:t>
      </w:r>
    </w:p>
    <w:p w:rsidR="00A3013D" w:rsidRDefault="00A3013D" w:rsidP="00A3013D">
      <w:pPr>
        <w:spacing w:after="0"/>
      </w:pPr>
      <w:r>
        <w:t>T: +001-562-673-1607</w:t>
      </w:r>
    </w:p>
    <w:p w:rsidR="00FC071C" w:rsidRDefault="00FC071C" w:rsidP="00A3013D">
      <w:pPr>
        <w:spacing w:after="0"/>
      </w:pPr>
      <w:r>
        <w:t>Email: evashwick@gmail.com</w:t>
      </w:r>
    </w:p>
    <w:p w:rsidR="00A3013D" w:rsidRPr="00A3013D" w:rsidRDefault="00A3013D" w:rsidP="00A3013D">
      <w:pPr>
        <w:spacing w:after="0"/>
      </w:pP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Michal Grivna, MD, PhD, MPH, FFPH</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Professor and Director</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Institute for Public Health</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College of Medicine and Public Health</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lastRenderedPageBreak/>
        <w:t>United Arab Emirates University</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P.O. Box 17666</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Al Alin, UAE</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T: +971-3-713-7653; FAX +971-3-767-2002</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 xml:space="preserve">Email: </w:t>
      </w:r>
      <w:hyperlink r:id="rId4" w:history="1">
        <w:r w:rsidRPr="005F0631">
          <w:rPr>
            <w:rStyle w:val="Hyperlink"/>
            <w:rFonts w:asciiTheme="minorHAnsi" w:hAnsiTheme="minorHAnsi" w:cstheme="minorHAnsi"/>
            <w:sz w:val="22"/>
            <w:szCs w:val="22"/>
            <w:shd w:val="clear" w:color="auto" w:fill="FFFFFF"/>
          </w:rPr>
          <w:t>m.grivna@uaeu.ac.ae</w:t>
        </w:r>
      </w:hyperlink>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p>
    <w:p w:rsidR="00534FDC" w:rsidRPr="00534FDC" w:rsidRDefault="00534FDC" w:rsidP="00534FDC">
      <w:pPr>
        <w:pStyle w:val="NormalWeb"/>
        <w:shd w:val="clear" w:color="auto" w:fill="FFFFFF"/>
        <w:spacing w:before="0" w:beforeAutospacing="0" w:after="0" w:afterAutospacing="0"/>
        <w:rPr>
          <w:rFonts w:asciiTheme="minorHAnsi" w:hAnsiTheme="minorHAnsi" w:cstheme="minorHAnsi"/>
          <w:color w:val="000000"/>
          <w:sz w:val="22"/>
          <w:szCs w:val="22"/>
        </w:rPr>
      </w:pPr>
      <w:r w:rsidRPr="00534FDC">
        <w:rPr>
          <w:rFonts w:asciiTheme="minorHAnsi" w:hAnsiTheme="minorHAnsi" w:cstheme="minorHAnsi"/>
          <w:color w:val="000000"/>
          <w:sz w:val="22"/>
          <w:szCs w:val="22"/>
        </w:rPr>
        <w:t>Roger Harrison</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sidRPr="00534FDC">
        <w:rPr>
          <w:rFonts w:asciiTheme="minorHAnsi" w:hAnsiTheme="minorHAnsi" w:cstheme="minorHAnsi"/>
          <w:color w:val="222222"/>
          <w:sz w:val="22"/>
          <w:szCs w:val="22"/>
          <w:shd w:val="clear" w:color="auto" w:fill="FFFFFF"/>
        </w:rPr>
        <w:t>Roger Harrison MFPH (UK)</w:t>
      </w:r>
      <w:r w:rsidR="00FC071C">
        <w:rPr>
          <w:rFonts w:asciiTheme="minorHAnsi" w:hAnsiTheme="minorHAnsi" w:cstheme="minorHAnsi"/>
          <w:color w:val="222222"/>
          <w:sz w:val="22"/>
          <w:szCs w:val="22"/>
          <w:shd w:val="clear" w:color="auto" w:fill="FFFFFF"/>
        </w:rPr>
        <w:t xml:space="preserve">, </w:t>
      </w:r>
      <w:r w:rsidRPr="00534FDC">
        <w:rPr>
          <w:rFonts w:asciiTheme="minorHAnsi" w:hAnsiTheme="minorHAnsi" w:cstheme="minorHAnsi"/>
          <w:color w:val="222222"/>
          <w:sz w:val="22"/>
          <w:szCs w:val="22"/>
          <w:shd w:val="clear" w:color="auto" w:fill="FFFFFF"/>
        </w:rPr>
        <w:t>SFHEA</w:t>
      </w:r>
      <w:r w:rsidRPr="00534FDC">
        <w:rPr>
          <w:rFonts w:asciiTheme="minorHAnsi" w:hAnsiTheme="minorHAnsi" w:cstheme="minorHAnsi"/>
          <w:color w:val="222222"/>
          <w:sz w:val="22"/>
          <w:szCs w:val="22"/>
        </w:rPr>
        <w:br/>
      </w:r>
      <w:r w:rsidRPr="00534FDC">
        <w:rPr>
          <w:rStyle w:val="il"/>
          <w:rFonts w:asciiTheme="minorHAnsi" w:hAnsiTheme="minorHAnsi" w:cstheme="minorHAnsi"/>
          <w:color w:val="222222"/>
          <w:sz w:val="22"/>
          <w:szCs w:val="22"/>
          <w:shd w:val="clear" w:color="auto" w:fill="FFFFFF"/>
        </w:rPr>
        <w:t>Senior</w:t>
      </w:r>
      <w:r w:rsidRPr="00534FDC">
        <w:rPr>
          <w:rFonts w:asciiTheme="minorHAnsi" w:hAnsiTheme="minorHAnsi" w:cstheme="minorHAnsi"/>
          <w:color w:val="222222"/>
          <w:sz w:val="22"/>
          <w:szCs w:val="22"/>
          <w:shd w:val="clear" w:color="auto" w:fill="FFFFFF"/>
        </w:rPr>
        <w:t> Lecturer in Public Health</w:t>
      </w:r>
      <w:r w:rsidRPr="00534FDC">
        <w:rPr>
          <w:rFonts w:asciiTheme="minorHAnsi" w:hAnsiTheme="minorHAnsi" w:cstheme="minorHAnsi"/>
          <w:color w:val="222222"/>
          <w:sz w:val="22"/>
          <w:szCs w:val="22"/>
        </w:rPr>
        <w:br/>
      </w:r>
      <w:r w:rsidRPr="00534FDC">
        <w:rPr>
          <w:rFonts w:asciiTheme="minorHAnsi" w:hAnsiTheme="minorHAnsi" w:cstheme="minorHAnsi"/>
          <w:color w:val="222222"/>
          <w:sz w:val="22"/>
          <w:szCs w:val="22"/>
          <w:shd w:val="clear" w:color="auto" w:fill="FFFFFF"/>
        </w:rPr>
        <w:t>Division Lead for Social Responsibility</w:t>
      </w:r>
      <w:r w:rsidRPr="00534FDC">
        <w:rPr>
          <w:rFonts w:asciiTheme="minorHAnsi" w:hAnsiTheme="minorHAnsi" w:cstheme="minorHAnsi"/>
          <w:color w:val="222222"/>
          <w:sz w:val="22"/>
          <w:szCs w:val="22"/>
        </w:rPr>
        <w:br/>
      </w:r>
      <w:r w:rsidRPr="00534FDC">
        <w:rPr>
          <w:rFonts w:asciiTheme="minorHAnsi" w:hAnsiTheme="minorHAnsi" w:cstheme="minorHAnsi"/>
          <w:color w:val="222222"/>
          <w:sz w:val="22"/>
          <w:szCs w:val="22"/>
          <w:shd w:val="clear" w:color="auto" w:fill="FFFFFF"/>
        </w:rPr>
        <w:t>Joint Chair of 'Action on Antibiotic Drug Resistance'</w:t>
      </w:r>
      <w:r w:rsidRPr="00534FDC">
        <w:rPr>
          <w:rFonts w:asciiTheme="minorHAnsi" w:hAnsiTheme="minorHAnsi" w:cstheme="minorHAnsi"/>
          <w:color w:val="222222"/>
          <w:sz w:val="22"/>
          <w:szCs w:val="22"/>
        </w:rPr>
        <w:br/>
      </w:r>
      <w:r w:rsidRPr="00534FDC">
        <w:rPr>
          <w:rFonts w:asciiTheme="minorHAnsi" w:hAnsiTheme="minorHAnsi" w:cstheme="minorHAnsi"/>
          <w:color w:val="222222"/>
          <w:sz w:val="22"/>
          <w:szCs w:val="22"/>
          <w:shd w:val="clear" w:color="auto" w:fill="FFFFFF"/>
        </w:rPr>
        <w:t>Director of Studies for Postgraduate Education in Public Health (Online Learning)</w:t>
      </w:r>
      <w:r w:rsidRPr="00534FDC">
        <w:rPr>
          <w:rFonts w:asciiTheme="minorHAnsi" w:hAnsiTheme="minorHAnsi" w:cstheme="minorHAnsi"/>
          <w:color w:val="222222"/>
          <w:sz w:val="22"/>
          <w:szCs w:val="22"/>
        </w:rPr>
        <w:br/>
      </w:r>
      <w:r w:rsidRPr="00534FDC">
        <w:rPr>
          <w:rFonts w:asciiTheme="minorHAnsi" w:hAnsiTheme="minorHAnsi" w:cstheme="minorHAnsi"/>
          <w:color w:val="222222"/>
          <w:sz w:val="22"/>
          <w:szCs w:val="22"/>
          <w:shd w:val="clear" w:color="auto" w:fill="FFFFFF"/>
        </w:rPr>
        <w:t>Centre for Epidemiology | School of Health Sciences | Division of Population Health, Health Services </w:t>
      </w:r>
      <w:r w:rsidRPr="00534FDC">
        <w:rPr>
          <w:rStyle w:val="il"/>
          <w:rFonts w:asciiTheme="minorHAnsi" w:hAnsiTheme="minorHAnsi" w:cstheme="minorHAnsi"/>
          <w:color w:val="222222"/>
          <w:sz w:val="22"/>
          <w:szCs w:val="22"/>
          <w:shd w:val="clear" w:color="auto" w:fill="FFFFFF"/>
        </w:rPr>
        <w:t>Research</w:t>
      </w:r>
      <w:r w:rsidRPr="00534FDC">
        <w:rPr>
          <w:rFonts w:asciiTheme="minorHAnsi" w:hAnsiTheme="minorHAnsi" w:cstheme="minorHAnsi"/>
          <w:color w:val="222222"/>
          <w:sz w:val="22"/>
          <w:szCs w:val="22"/>
          <w:shd w:val="clear" w:color="auto" w:fill="FFFFFF"/>
        </w:rPr>
        <w:t> &amp; Primary Care | The University of Manchester | Room C4.6 (C block) Ellen Wilkinson Building | Oxford Road | Manchester M13 9PT</w:t>
      </w:r>
      <w:r w:rsidR="00A3013D">
        <w:rPr>
          <w:rFonts w:asciiTheme="minorHAnsi" w:hAnsiTheme="minorHAnsi" w:cstheme="minorHAnsi"/>
          <w:color w:val="222222"/>
          <w:sz w:val="22"/>
          <w:szCs w:val="22"/>
          <w:shd w:val="clear" w:color="auto" w:fill="FFFFFF"/>
        </w:rPr>
        <w:t>, UK</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Email: Roger.harrison@manchester.ac.uk</w:t>
      </w:r>
    </w:p>
    <w:p w:rsidR="00534FDC" w:rsidRDefault="00534FDC" w:rsidP="00534FDC">
      <w:pPr>
        <w:pStyle w:val="NormalWeb"/>
        <w:shd w:val="clear" w:color="auto" w:fill="FFFFFF"/>
        <w:spacing w:before="0" w:beforeAutospacing="0" w:after="0" w:afterAutospacing="0"/>
        <w:rPr>
          <w:rFonts w:asciiTheme="minorHAnsi" w:hAnsiTheme="minorHAnsi" w:cstheme="minorHAnsi"/>
          <w:color w:val="222222"/>
          <w:sz w:val="22"/>
          <w:szCs w:val="22"/>
          <w:shd w:val="clear" w:color="auto" w:fill="FFFFFF"/>
        </w:rPr>
      </w:pPr>
    </w:p>
    <w:p w:rsidR="00A3013D" w:rsidRPr="00A3013D" w:rsidRDefault="00A3013D" w:rsidP="00A3013D">
      <w:pPr>
        <w:pStyle w:val="NormalWeb"/>
        <w:shd w:val="clear" w:color="auto" w:fill="FFFFFF"/>
        <w:spacing w:before="0" w:beforeAutospacing="0" w:after="0" w:afterAutospacing="0"/>
        <w:rPr>
          <w:rFonts w:ascii="Calibri" w:hAnsi="Calibri" w:cs="Calibri"/>
          <w:color w:val="000000"/>
          <w:sz w:val="22"/>
          <w:szCs w:val="22"/>
        </w:rPr>
      </w:pPr>
      <w:r w:rsidRPr="00A3013D">
        <w:rPr>
          <w:rFonts w:ascii="Calibri" w:hAnsi="Calibri" w:cs="Calibri"/>
          <w:color w:val="000000"/>
          <w:sz w:val="22"/>
          <w:szCs w:val="22"/>
        </w:rPr>
        <w:t>Dr. Mikko Perkiö</w:t>
      </w:r>
      <w:r w:rsidRPr="00A3013D">
        <w:rPr>
          <w:rFonts w:ascii="Calibri" w:hAnsi="Calibri" w:cs="Calibri"/>
          <w:color w:val="000000"/>
          <w:sz w:val="22"/>
          <w:szCs w:val="22"/>
        </w:rPr>
        <w:br/>
        <w:t>PhD, University Instructor </w:t>
      </w:r>
      <w:r w:rsidRPr="00A3013D">
        <w:rPr>
          <w:rFonts w:ascii="Calibri" w:hAnsi="Calibri" w:cs="Calibri"/>
          <w:color w:val="000000"/>
          <w:sz w:val="22"/>
          <w:szCs w:val="22"/>
        </w:rPr>
        <w:br/>
        <w:t>Global Health and Development</w:t>
      </w:r>
    </w:p>
    <w:p w:rsidR="00A3013D" w:rsidRDefault="00A3013D" w:rsidP="00A3013D">
      <w:pPr>
        <w:pStyle w:val="NormalWeb"/>
        <w:shd w:val="clear" w:color="auto" w:fill="FFFFFF"/>
        <w:spacing w:before="0" w:beforeAutospacing="0" w:after="0" w:afterAutospacing="0"/>
        <w:rPr>
          <w:rFonts w:ascii="Calibri" w:hAnsi="Calibri" w:cs="Calibri"/>
          <w:color w:val="000000"/>
          <w:sz w:val="22"/>
          <w:szCs w:val="22"/>
        </w:rPr>
      </w:pPr>
      <w:r w:rsidRPr="00A3013D">
        <w:rPr>
          <w:rFonts w:ascii="Calibri" w:hAnsi="Calibri" w:cs="Calibri"/>
          <w:color w:val="000000"/>
          <w:sz w:val="22"/>
          <w:szCs w:val="22"/>
        </w:rPr>
        <w:t>Faculty of Social Sciences (SOC)</w:t>
      </w:r>
      <w:r w:rsidRPr="00A3013D">
        <w:rPr>
          <w:rFonts w:ascii="Calibri" w:hAnsi="Calibri" w:cs="Calibri"/>
          <w:color w:val="000000"/>
          <w:sz w:val="22"/>
          <w:szCs w:val="22"/>
        </w:rPr>
        <w:br/>
        <w:t>Arvo-building, Room C327</w:t>
      </w:r>
      <w:r w:rsidRPr="00A3013D">
        <w:rPr>
          <w:rFonts w:ascii="Calibri" w:hAnsi="Calibri" w:cs="Calibri"/>
          <w:color w:val="000000"/>
          <w:sz w:val="22"/>
          <w:szCs w:val="22"/>
        </w:rPr>
        <w:br/>
        <w:t>Tampere University (postal nr: 33014)</w:t>
      </w:r>
    </w:p>
    <w:p w:rsidR="00A3013D" w:rsidRPr="00A3013D" w:rsidRDefault="00A3013D" w:rsidP="00A3013D">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Tampere, Finland</w:t>
      </w:r>
      <w:r w:rsidRPr="00A3013D">
        <w:rPr>
          <w:rFonts w:ascii="Calibri" w:hAnsi="Calibri" w:cs="Calibri"/>
          <w:color w:val="000000"/>
          <w:sz w:val="22"/>
          <w:szCs w:val="22"/>
        </w:rPr>
        <w:br/>
        <w:t>T. +358 (0)50 318 6183</w:t>
      </w:r>
      <w:r w:rsidRPr="00A3013D">
        <w:rPr>
          <w:rFonts w:ascii="Calibri" w:hAnsi="Calibri" w:cs="Calibri"/>
          <w:color w:val="000000"/>
          <w:sz w:val="22"/>
          <w:szCs w:val="22"/>
        </w:rPr>
        <w:br/>
        <w:t>E</w:t>
      </w:r>
      <w:r w:rsidR="00FC071C">
        <w:rPr>
          <w:rFonts w:ascii="Calibri" w:hAnsi="Calibri" w:cs="Calibri"/>
          <w:color w:val="000000"/>
          <w:sz w:val="22"/>
          <w:szCs w:val="22"/>
        </w:rPr>
        <w:t>mail:</w:t>
      </w:r>
      <w:bookmarkStart w:id="0" w:name="_GoBack"/>
      <w:bookmarkEnd w:id="0"/>
      <w:r w:rsidRPr="00A3013D">
        <w:rPr>
          <w:rFonts w:ascii="Calibri" w:hAnsi="Calibri" w:cs="Calibri"/>
          <w:color w:val="000000"/>
          <w:sz w:val="22"/>
          <w:szCs w:val="22"/>
        </w:rPr>
        <w:t> </w:t>
      </w:r>
      <w:hyperlink r:id="rId5" w:tgtFrame="_blank" w:history="1">
        <w:r w:rsidRPr="00A3013D">
          <w:rPr>
            <w:rStyle w:val="Hyperlink"/>
            <w:rFonts w:ascii="Calibri" w:hAnsi="Calibri" w:cs="Calibri"/>
            <w:color w:val="1155CC"/>
            <w:sz w:val="22"/>
            <w:szCs w:val="22"/>
          </w:rPr>
          <w:t>mikko.perkio@tuni.fi</w:t>
        </w:r>
      </w:hyperlink>
    </w:p>
    <w:p w:rsidR="00A3013D" w:rsidRPr="00A3013D" w:rsidRDefault="00A3013D" w:rsidP="00A3013D">
      <w:pPr>
        <w:pStyle w:val="NormalWeb"/>
        <w:shd w:val="clear" w:color="auto" w:fill="FFFFFF"/>
        <w:spacing w:before="0" w:beforeAutospacing="0" w:after="0" w:afterAutospacing="0"/>
        <w:rPr>
          <w:rFonts w:ascii="Calibri" w:hAnsi="Calibri" w:cs="Calibri"/>
          <w:color w:val="000000"/>
          <w:sz w:val="22"/>
          <w:szCs w:val="22"/>
        </w:rPr>
      </w:pPr>
      <w:hyperlink r:id="rId6" w:tgtFrame="_blank" w:history="1">
        <w:r w:rsidRPr="00A3013D">
          <w:rPr>
            <w:rStyle w:val="Hyperlink"/>
            <w:rFonts w:ascii="Calibri" w:hAnsi="Calibri" w:cs="Calibri"/>
            <w:color w:val="1155CC"/>
            <w:sz w:val="22"/>
            <w:szCs w:val="22"/>
          </w:rPr>
          <w:t>www.global-health-and-development.net</w:t>
        </w:r>
      </w:hyperlink>
    </w:p>
    <w:p w:rsidR="00A3013D" w:rsidRPr="00534FDC" w:rsidRDefault="00A3013D" w:rsidP="00534FDC">
      <w:pPr>
        <w:pStyle w:val="NormalWeb"/>
        <w:shd w:val="clear" w:color="auto" w:fill="FFFFFF"/>
        <w:spacing w:before="0" w:beforeAutospacing="0" w:after="0" w:afterAutospacing="0"/>
        <w:rPr>
          <w:rFonts w:asciiTheme="minorHAnsi" w:hAnsiTheme="minorHAnsi" w:cstheme="minorHAnsi"/>
          <w:color w:val="000000"/>
          <w:sz w:val="22"/>
          <w:szCs w:val="22"/>
        </w:rPr>
      </w:pPr>
    </w:p>
    <w:p w:rsidR="00534FDC" w:rsidRDefault="00242D1B" w:rsidP="00534FDC">
      <w:pPr>
        <w:spacing w:after="0"/>
      </w:pPr>
      <w:r>
        <w:t>Donghua Tao, PhD, MA, MS</w:t>
      </w:r>
    </w:p>
    <w:p w:rsidR="00242D1B" w:rsidRPr="00534FDC" w:rsidRDefault="00242D1B" w:rsidP="00534FDC">
      <w:pPr>
        <w:spacing w:after="0"/>
      </w:pPr>
      <w:r>
        <w:rPr>
          <w:rFonts w:ascii="Calibri" w:hAnsi="Calibri" w:cs="Calibri"/>
          <w:color w:val="000000"/>
        </w:rPr>
        <w:t>Interim Assistant Director for Information Services/Professor</w:t>
      </w:r>
    </w:p>
    <w:p w:rsidR="00242D1B" w:rsidRPr="00534FDC" w:rsidRDefault="00242D1B" w:rsidP="00534FDC">
      <w:pPr>
        <w:pStyle w:val="NormalWeb"/>
        <w:shd w:val="clear" w:color="auto" w:fill="FFFFFF"/>
        <w:spacing w:before="0" w:beforeAutospacing="0" w:after="0" w:afterAutospacing="0"/>
        <w:rPr>
          <w:rFonts w:ascii="Calibri" w:hAnsi="Calibri" w:cs="Calibri"/>
          <w:color w:val="000000"/>
          <w:sz w:val="22"/>
          <w:szCs w:val="22"/>
        </w:rPr>
      </w:pPr>
      <w:r w:rsidRPr="00534FDC">
        <w:rPr>
          <w:rFonts w:ascii="Calibri" w:hAnsi="Calibri" w:cs="Calibri"/>
          <w:color w:val="000000"/>
          <w:sz w:val="22"/>
          <w:szCs w:val="22"/>
        </w:rPr>
        <w:t>Medical Center Library</w:t>
      </w:r>
    </w:p>
    <w:p w:rsidR="00242D1B" w:rsidRDefault="00242D1B" w:rsidP="00534FDC">
      <w:pPr>
        <w:pStyle w:val="NormalWeb"/>
        <w:shd w:val="clear" w:color="auto" w:fill="FFFFFF"/>
        <w:spacing w:before="0" w:beforeAutospacing="0" w:after="0" w:afterAutospacing="0"/>
        <w:rPr>
          <w:rFonts w:ascii="Calibri" w:hAnsi="Calibri" w:cs="Calibri"/>
          <w:color w:val="000000"/>
          <w:sz w:val="22"/>
          <w:szCs w:val="22"/>
        </w:rPr>
      </w:pPr>
      <w:r w:rsidRPr="00534FDC">
        <w:rPr>
          <w:rFonts w:ascii="Calibri" w:hAnsi="Calibri" w:cs="Calibri"/>
          <w:color w:val="000000"/>
          <w:sz w:val="22"/>
          <w:szCs w:val="22"/>
        </w:rPr>
        <w:t>Saint Louis University</w:t>
      </w:r>
    </w:p>
    <w:p w:rsidR="00A3013D" w:rsidRPr="00534FDC" w:rsidRDefault="00A3013D" w:rsidP="00534FDC">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St. Louis, MO, USA</w:t>
      </w:r>
    </w:p>
    <w:p w:rsidR="00242D1B" w:rsidRPr="00534FDC" w:rsidRDefault="00242D1B" w:rsidP="00534FDC">
      <w:pPr>
        <w:pStyle w:val="NormalWeb"/>
        <w:shd w:val="clear" w:color="auto" w:fill="FFFFFF"/>
        <w:spacing w:before="0" w:beforeAutospacing="0" w:after="0" w:afterAutospacing="0"/>
        <w:rPr>
          <w:rFonts w:ascii="Calibri" w:hAnsi="Calibri" w:cs="Calibri"/>
          <w:color w:val="000000"/>
          <w:sz w:val="22"/>
          <w:szCs w:val="22"/>
        </w:rPr>
      </w:pPr>
      <w:r w:rsidRPr="00534FDC">
        <w:rPr>
          <w:rFonts w:ascii="Calibri" w:hAnsi="Calibri" w:cs="Calibri"/>
          <w:color w:val="000000"/>
          <w:sz w:val="22"/>
          <w:szCs w:val="22"/>
        </w:rPr>
        <w:t>Tel: 314-977-8812</w:t>
      </w:r>
    </w:p>
    <w:p w:rsidR="00242D1B" w:rsidRPr="00534FDC" w:rsidRDefault="00242D1B" w:rsidP="00534FDC">
      <w:pPr>
        <w:pStyle w:val="NormalWeb"/>
        <w:shd w:val="clear" w:color="auto" w:fill="FFFFFF"/>
        <w:spacing w:before="0" w:beforeAutospacing="0" w:after="0" w:afterAutospacing="0"/>
        <w:rPr>
          <w:rFonts w:ascii="Calibri" w:hAnsi="Calibri" w:cs="Calibri"/>
          <w:color w:val="000000"/>
          <w:sz w:val="22"/>
          <w:szCs w:val="22"/>
        </w:rPr>
      </w:pPr>
      <w:r w:rsidRPr="00534FDC">
        <w:rPr>
          <w:rFonts w:ascii="Calibri" w:hAnsi="Calibri" w:cs="Calibri"/>
          <w:color w:val="000000"/>
          <w:sz w:val="22"/>
          <w:szCs w:val="22"/>
        </w:rPr>
        <w:t>Email: </w:t>
      </w:r>
      <w:hyperlink r:id="rId7" w:tgtFrame="_blank" w:history="1">
        <w:r w:rsidRPr="00534FDC">
          <w:rPr>
            <w:rStyle w:val="il"/>
            <w:rFonts w:ascii="Calibri" w:hAnsi="Calibri" w:cs="Calibri"/>
            <w:color w:val="1155CC"/>
            <w:sz w:val="22"/>
            <w:szCs w:val="22"/>
            <w:u w:val="single"/>
          </w:rPr>
          <w:t>donghua.tao@slu.edu</w:t>
        </w:r>
      </w:hyperlink>
      <w:r w:rsidRPr="00534FDC">
        <w:rPr>
          <w:rFonts w:ascii="Calibri" w:hAnsi="Calibri" w:cs="Calibri"/>
          <w:color w:val="000000"/>
          <w:sz w:val="22"/>
          <w:szCs w:val="22"/>
        </w:rPr>
        <w:t> </w:t>
      </w:r>
    </w:p>
    <w:p w:rsidR="00534FDC" w:rsidRPr="00A3013D" w:rsidRDefault="00534FDC" w:rsidP="00534FDC">
      <w:pPr>
        <w:pStyle w:val="NormalWeb"/>
        <w:shd w:val="clear" w:color="auto" w:fill="FFFFFF"/>
        <w:spacing w:before="0" w:beforeAutospacing="0" w:after="0" w:afterAutospacing="0"/>
        <w:rPr>
          <w:rFonts w:ascii="Calibri" w:hAnsi="Calibri" w:cs="Calibri"/>
          <w:color w:val="000000"/>
          <w:sz w:val="22"/>
          <w:szCs w:val="22"/>
        </w:rPr>
      </w:pPr>
    </w:p>
    <w:p w:rsidR="00242D1B" w:rsidRPr="00A3013D" w:rsidRDefault="00242D1B"/>
    <w:sectPr w:rsidR="00242D1B" w:rsidRPr="00A30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9C"/>
    <w:rsid w:val="00034AB5"/>
    <w:rsid w:val="00182D74"/>
    <w:rsid w:val="00242D1B"/>
    <w:rsid w:val="0044281C"/>
    <w:rsid w:val="00534FDC"/>
    <w:rsid w:val="005419C1"/>
    <w:rsid w:val="00600B9C"/>
    <w:rsid w:val="006C41B7"/>
    <w:rsid w:val="006F4E95"/>
    <w:rsid w:val="007645C5"/>
    <w:rsid w:val="008D0541"/>
    <w:rsid w:val="008F14A7"/>
    <w:rsid w:val="009038D3"/>
    <w:rsid w:val="00A3013D"/>
    <w:rsid w:val="00AD64A4"/>
    <w:rsid w:val="00C96AB5"/>
    <w:rsid w:val="00E14B29"/>
    <w:rsid w:val="00F0444E"/>
    <w:rsid w:val="00FC0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15109C-641F-4950-834A-046836A0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281C"/>
    <w:rPr>
      <w:color w:val="0000FF"/>
      <w:u w:val="single"/>
    </w:rPr>
  </w:style>
  <w:style w:type="paragraph" w:styleId="NormalWeb">
    <w:name w:val="Normal (Web)"/>
    <w:basedOn w:val="Normal"/>
    <w:uiPriority w:val="99"/>
    <w:semiHidden/>
    <w:unhideWhenUsed/>
    <w:rsid w:val="00242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242D1B"/>
  </w:style>
  <w:style w:type="character" w:customStyle="1" w:styleId="m-4090910775624994183baec5a81-e4d6-4674-97f3-e9220f0136c1">
    <w:name w:val="m_-4090910775624994183baec5a81-e4d6-4674-97f3-e9220f0136c1"/>
    <w:basedOn w:val="DefaultParagraphFont"/>
    <w:rsid w:val="00242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56462">
      <w:bodyDiv w:val="1"/>
      <w:marLeft w:val="0"/>
      <w:marRight w:val="0"/>
      <w:marTop w:val="0"/>
      <w:marBottom w:val="0"/>
      <w:divBdr>
        <w:top w:val="none" w:sz="0" w:space="0" w:color="auto"/>
        <w:left w:val="none" w:sz="0" w:space="0" w:color="auto"/>
        <w:bottom w:val="none" w:sz="0" w:space="0" w:color="auto"/>
        <w:right w:val="none" w:sz="0" w:space="0" w:color="auto"/>
      </w:divBdr>
    </w:div>
    <w:div w:id="504974063">
      <w:bodyDiv w:val="1"/>
      <w:marLeft w:val="0"/>
      <w:marRight w:val="0"/>
      <w:marTop w:val="0"/>
      <w:marBottom w:val="0"/>
      <w:divBdr>
        <w:top w:val="none" w:sz="0" w:space="0" w:color="auto"/>
        <w:left w:val="none" w:sz="0" w:space="0" w:color="auto"/>
        <w:bottom w:val="none" w:sz="0" w:space="0" w:color="auto"/>
        <w:right w:val="none" w:sz="0" w:space="0" w:color="auto"/>
      </w:divBdr>
    </w:div>
    <w:div w:id="599070822">
      <w:bodyDiv w:val="1"/>
      <w:marLeft w:val="0"/>
      <w:marRight w:val="0"/>
      <w:marTop w:val="0"/>
      <w:marBottom w:val="0"/>
      <w:divBdr>
        <w:top w:val="none" w:sz="0" w:space="0" w:color="auto"/>
        <w:left w:val="none" w:sz="0" w:space="0" w:color="auto"/>
        <w:bottom w:val="none" w:sz="0" w:space="0" w:color="auto"/>
        <w:right w:val="none" w:sz="0" w:space="0" w:color="auto"/>
      </w:divBdr>
      <w:divsChild>
        <w:div w:id="1763528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413324">
              <w:marLeft w:val="0"/>
              <w:marRight w:val="0"/>
              <w:marTop w:val="0"/>
              <w:marBottom w:val="0"/>
              <w:divBdr>
                <w:top w:val="none" w:sz="0" w:space="0" w:color="auto"/>
                <w:left w:val="none" w:sz="0" w:space="0" w:color="auto"/>
                <w:bottom w:val="none" w:sz="0" w:space="0" w:color="auto"/>
                <w:right w:val="none" w:sz="0" w:space="0" w:color="auto"/>
              </w:divBdr>
              <w:divsChild>
                <w:div w:id="623969061">
                  <w:marLeft w:val="0"/>
                  <w:marRight w:val="0"/>
                  <w:marTop w:val="0"/>
                  <w:marBottom w:val="0"/>
                  <w:divBdr>
                    <w:top w:val="none" w:sz="0" w:space="0" w:color="auto"/>
                    <w:left w:val="none" w:sz="0" w:space="0" w:color="auto"/>
                    <w:bottom w:val="none" w:sz="0" w:space="0" w:color="auto"/>
                    <w:right w:val="none" w:sz="0" w:space="0" w:color="auto"/>
                  </w:divBdr>
                  <w:divsChild>
                    <w:div w:id="2094860403">
                      <w:marLeft w:val="0"/>
                      <w:marRight w:val="0"/>
                      <w:marTop w:val="0"/>
                      <w:marBottom w:val="0"/>
                      <w:divBdr>
                        <w:top w:val="none" w:sz="0" w:space="0" w:color="auto"/>
                        <w:left w:val="none" w:sz="0" w:space="0" w:color="auto"/>
                        <w:bottom w:val="none" w:sz="0" w:space="0" w:color="auto"/>
                        <w:right w:val="none" w:sz="0" w:space="0" w:color="auto"/>
                      </w:divBdr>
                      <w:divsChild>
                        <w:div w:id="52201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674565">
      <w:bodyDiv w:val="1"/>
      <w:marLeft w:val="0"/>
      <w:marRight w:val="0"/>
      <w:marTop w:val="0"/>
      <w:marBottom w:val="0"/>
      <w:divBdr>
        <w:top w:val="none" w:sz="0" w:space="0" w:color="auto"/>
        <w:left w:val="none" w:sz="0" w:space="0" w:color="auto"/>
        <w:bottom w:val="none" w:sz="0" w:space="0" w:color="auto"/>
        <w:right w:val="none" w:sz="0" w:space="0" w:color="auto"/>
      </w:divBdr>
    </w:div>
    <w:div w:id="1768161327">
      <w:bodyDiv w:val="1"/>
      <w:marLeft w:val="0"/>
      <w:marRight w:val="0"/>
      <w:marTop w:val="0"/>
      <w:marBottom w:val="0"/>
      <w:divBdr>
        <w:top w:val="none" w:sz="0" w:space="0" w:color="auto"/>
        <w:left w:val="none" w:sz="0" w:space="0" w:color="auto"/>
        <w:bottom w:val="none" w:sz="0" w:space="0" w:color="auto"/>
        <w:right w:val="none" w:sz="0" w:space="0" w:color="auto"/>
      </w:divBdr>
    </w:div>
    <w:div w:id="202377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onghua.tao@sl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lobal-health-and-development.net/" TargetMode="External"/><Relationship Id="rId5" Type="http://schemas.openxmlformats.org/officeDocument/2006/relationships/hyperlink" Target="mailto:mikko.perkio@tuni.fi" TargetMode="External"/><Relationship Id="rId4" Type="http://schemas.openxmlformats.org/officeDocument/2006/relationships/hyperlink" Target="mailto:m.grivna@uaeu.ac.a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Evashwick</dc:creator>
  <cp:keywords/>
  <dc:description/>
  <cp:lastModifiedBy>Connie Evashwick</cp:lastModifiedBy>
  <cp:revision>4</cp:revision>
  <dcterms:created xsi:type="dcterms:W3CDTF">2019-02-13T22:20:00Z</dcterms:created>
  <dcterms:modified xsi:type="dcterms:W3CDTF">2019-02-13T23:05:00Z</dcterms:modified>
</cp:coreProperties>
</file>