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B4975" w14:textId="748E2680" w:rsidR="00AE3E37" w:rsidRDefault="00496968" w:rsidP="00494130">
      <w:pPr>
        <w:pStyle w:val="Ttulo1"/>
        <w:spacing w:before="170"/>
        <w:ind w:left="0"/>
      </w:pPr>
      <w:r w:rsidRPr="00496968">
        <w:rPr>
          <w:color w:val="548DD4" w:themeColor="text2" w:themeTint="99"/>
        </w:rPr>
        <w:t>Discovery and validation of microRNA biomarkers in circulation and bone tissue from a type-2 diabetes mellitus rat model</w:t>
      </w:r>
      <w:r w:rsidRPr="00496968">
        <w:rPr>
          <w:color w:val="548DD4" w:themeColor="text2" w:themeTint="99"/>
          <w:sz w:val="44"/>
          <w:szCs w:val="44"/>
        </w:rPr>
        <w:t xml:space="preserve"> </w:t>
      </w:r>
    </w:p>
    <w:p w14:paraId="314DDFC7" w14:textId="7F6A8CCC" w:rsidR="005973B9" w:rsidRPr="00D65CB4" w:rsidRDefault="00496968" w:rsidP="005973B9">
      <w:pPr>
        <w:pStyle w:val="Textoindependiente"/>
        <w:spacing w:before="73" w:line="198" w:lineRule="exact"/>
        <w:ind w:left="100" w:right="5987"/>
        <w:rPr>
          <w:rFonts w:ascii="Arial"/>
          <w:lang w:val="es-ES_tradnl"/>
        </w:rPr>
      </w:pPr>
      <w:r w:rsidRPr="00D65CB4">
        <w:rPr>
          <w:rFonts w:ascii="Arial"/>
          <w:lang w:val="es-ES_tradnl"/>
        </w:rPr>
        <w:t>David Carro V</w:t>
      </w:r>
      <w:r w:rsidR="00096F47">
        <w:rPr>
          <w:rFonts w:ascii="Arial"/>
          <w:lang w:val="es-ES_tradnl"/>
        </w:rPr>
        <w:t>á</w:t>
      </w:r>
      <w:r w:rsidRPr="00D65CB4">
        <w:rPr>
          <w:rFonts w:ascii="Arial"/>
          <w:lang w:val="es-ES_tradnl"/>
        </w:rPr>
        <w:t>zquez</w:t>
      </w:r>
      <w:r w:rsidR="005973B9" w:rsidRPr="00D65CB4">
        <w:rPr>
          <w:rFonts w:ascii="Arial"/>
          <w:lang w:val="es-ES_tradnl"/>
        </w:rPr>
        <w:t xml:space="preserve">, </w:t>
      </w:r>
      <w:r w:rsidRPr="00D65CB4">
        <w:rPr>
          <w:rFonts w:ascii="Arial"/>
          <w:lang w:val="es-ES_tradnl"/>
        </w:rPr>
        <w:t>Msc</w:t>
      </w:r>
      <w:r w:rsidR="005973B9" w:rsidRPr="00D65CB4">
        <w:rPr>
          <w:rFonts w:ascii="Arial"/>
          <w:lang w:val="es-ES_tradnl"/>
        </w:rPr>
        <w:t xml:space="preserve">, </w:t>
      </w:r>
      <w:r w:rsidRPr="00D65CB4">
        <w:rPr>
          <w:rFonts w:ascii="Arial"/>
          <w:lang w:val="es-ES_tradnl"/>
        </w:rPr>
        <w:t>TAmiRNA GmbH</w:t>
      </w:r>
      <w:r w:rsidR="005973B9" w:rsidRPr="00D65CB4">
        <w:rPr>
          <w:rFonts w:ascii="Arial"/>
          <w:lang w:val="es-ES_tradnl"/>
        </w:rPr>
        <w:t xml:space="preserve">, </w:t>
      </w:r>
      <w:r w:rsidRPr="00D65CB4">
        <w:rPr>
          <w:rFonts w:ascii="Arial"/>
          <w:lang w:val="es-ES_tradnl"/>
        </w:rPr>
        <w:t>Austria</w:t>
      </w:r>
      <w:r w:rsidR="005973B9" w:rsidRPr="00D65CB4">
        <w:rPr>
          <w:rFonts w:ascii="Arial"/>
          <w:lang w:val="es-ES_tradnl"/>
        </w:rPr>
        <w:t xml:space="preserve"> </w:t>
      </w:r>
    </w:p>
    <w:p w14:paraId="138E99B5" w14:textId="4CCFF112" w:rsidR="00AE3E37" w:rsidRPr="00096F47" w:rsidRDefault="00096F47">
      <w:pPr>
        <w:pStyle w:val="Textoindependiente"/>
        <w:rPr>
          <w:rFonts w:ascii="Arial"/>
          <w:szCs w:val="16"/>
        </w:rPr>
      </w:pPr>
      <w:r>
        <w:rPr>
          <w:rFonts w:ascii="Arial"/>
          <w:szCs w:val="16"/>
        </w:rPr>
        <w:t xml:space="preserve">Co-authors: </w:t>
      </w:r>
      <w:r w:rsidRPr="00096F47">
        <w:rPr>
          <w:rFonts w:ascii="Arial" w:hAnsi="Arial" w:cs="Arial"/>
          <w:color w:val="000000"/>
          <w:szCs w:val="22"/>
        </w:rPr>
        <w:t>Lejla Emini, Martina Rauner, Christine Hofbauer, Johannes Grillari, Richard Eastell, Lorenz Hofbauer and</w:t>
      </w:r>
      <w:r w:rsidRPr="00096F47">
        <w:rPr>
          <w:rFonts w:ascii="Arial" w:hAnsi="Arial" w:cs="Arial"/>
          <w:szCs w:val="22"/>
        </w:rPr>
        <w:t xml:space="preserve"> Matthias Hackl.</w:t>
      </w:r>
    </w:p>
    <w:p w14:paraId="60AB6202" w14:textId="77777777" w:rsidR="00AE3E37" w:rsidRPr="00096F47" w:rsidRDefault="00AE3E37">
      <w:pPr>
        <w:pStyle w:val="Textoindependiente"/>
        <w:spacing w:before="3"/>
        <w:rPr>
          <w:rFonts w:ascii="Arial"/>
          <w:sz w:val="21"/>
        </w:rPr>
      </w:pPr>
    </w:p>
    <w:p w14:paraId="29DBDBD7" w14:textId="77777777" w:rsidR="00AE3E37" w:rsidRPr="00096F47" w:rsidRDefault="00AE3E37">
      <w:pPr>
        <w:rPr>
          <w:rFonts w:ascii="Arial"/>
          <w:sz w:val="21"/>
        </w:rPr>
        <w:sectPr w:rsidR="00AE3E37" w:rsidRPr="00096F47">
          <w:headerReference w:type="default" r:id="rId7"/>
          <w:footerReference w:type="default" r:id="rId8"/>
          <w:type w:val="continuous"/>
          <w:pgSz w:w="11910" w:h="16840"/>
          <w:pgMar w:top="1740" w:right="600" w:bottom="840" w:left="620" w:header="541" w:footer="642" w:gutter="0"/>
          <w:cols w:space="720"/>
        </w:sectPr>
      </w:pPr>
    </w:p>
    <w:p w14:paraId="728D9D45" w14:textId="77777777" w:rsidR="00AE3E37" w:rsidRDefault="00A9710C">
      <w:pPr>
        <w:pStyle w:val="Ttulo3"/>
        <w:spacing w:before="147"/>
        <w:jc w:val="both"/>
      </w:pPr>
      <w:r>
        <w:rPr>
          <w:color w:val="BF5A14"/>
        </w:rPr>
        <w:t>Abstract</w:t>
      </w:r>
      <w:r w:rsidR="00404E5B">
        <w:rPr>
          <w:color w:val="BF5A14"/>
        </w:rPr>
        <w:t xml:space="preserve"> (300 word limit)</w:t>
      </w:r>
    </w:p>
    <w:p w14:paraId="3DD75BEC" w14:textId="05DFFDB5" w:rsidR="00AE3E37" w:rsidRDefault="00A9710C">
      <w:pPr>
        <w:pStyle w:val="Textoindependiente"/>
        <w:spacing w:before="90" w:line="280" w:lineRule="auto"/>
        <w:ind w:left="100"/>
        <w:jc w:val="both"/>
      </w:pPr>
      <w:r>
        <w:t xml:space="preserve">Statement of the Problem: </w:t>
      </w:r>
      <w:r w:rsidR="00496968">
        <w:t xml:space="preserve">Metabolic changes in Type-2 Diabetes-Mellitus (T2DM) make patients more prone to develop osteoporosis and delayed bone healing. We hypothesize that microRNAs could be involved in the underlying mechanism and used as biomarkers in this context. To test this hypothesis, we analyzed microRNAs in samples from Zucker Diabetic Fatty (ZDF) rats, a T2DM model with reduced bone healing and bone mass. </w:t>
      </w:r>
      <w:r>
        <w:t>Methodolog</w:t>
      </w:r>
      <w:r w:rsidR="008756E6">
        <w:t xml:space="preserve">y &amp; Theoretical Orientation: </w:t>
      </w:r>
      <w:r w:rsidR="00496968">
        <w:t>11-week-old male ZDF and wildtype rats with an induction of bone healing by a femur subcritical defect were treated with placebo, anti-sclerostin, PTH and insulin treatments for 12 weeks and serum and ulna samples were then obtained (n = 5-8 per group). RNA isolation and small RNA next generation sequencing (NGS) were performed using serum and ulna samples for untargeted genome-wide miRNA analysis. Significantly (adj. p&lt;0.05) regulated miRNAs identified by NGS were validated by RT-qPCR. 2-way ANOVA analysis was applied to test for regulation in respect to T2DM and anti-osteoporosis treatment (p&lt;0.05). Pearson correlation analysis was performed to identify correlation between microRNA levels and metabolic data and bone imaging by micro</w:t>
      </w:r>
      <w:r w:rsidR="00096F47">
        <w:t>-</w:t>
      </w:r>
      <w:r w:rsidR="00496968">
        <w:t xml:space="preserve">CT (p&lt;0.05). </w:t>
      </w:r>
      <w:r>
        <w:t xml:space="preserve">Conclusion &amp; Significance: </w:t>
      </w:r>
      <w:r w:rsidR="00496968">
        <w:t>Significant increases in serum levels of miR-122-5p, a liver-enriched microRNA linked to T2DM, were observed in ZDF rats, supporting previous findings. In ZDF diabetic rats, miR-375 showed the highest up-regulation (up to 4-fold) in serum. In ulna samples, similar expression patterns (Figure 1) were observed, and miR-375 levels were found to be negatively correlated (p&lt;0.05) to several bone structural parameters, suggesting that the de-regulation of miR-375 could contribute to decreased bone quality in T2DM.</w:t>
      </w:r>
    </w:p>
    <w:p w14:paraId="09EE5051" w14:textId="5DA98CAA" w:rsidR="00AE3E37" w:rsidRDefault="00A9710C">
      <w:pPr>
        <w:pStyle w:val="Ttulo3"/>
        <w:spacing w:before="74"/>
      </w:pPr>
      <w:r>
        <w:rPr>
          <w:b w:val="0"/>
        </w:rPr>
        <w:br w:type="column"/>
      </w:r>
      <w:r>
        <w:rPr>
          <w:color w:val="BF5A14"/>
        </w:rPr>
        <w:t>Image</w:t>
      </w:r>
      <w:r w:rsidR="00D65CB4">
        <w:rPr>
          <w:color w:val="BF5A14"/>
        </w:rPr>
        <w:t xml:space="preserve"> 1</w:t>
      </w:r>
    </w:p>
    <w:p w14:paraId="168BF644" w14:textId="2FC762C8" w:rsidR="00AE3E37" w:rsidRDefault="00A57E4B">
      <w:pPr>
        <w:pStyle w:val="Textoindependiente"/>
        <w:spacing w:before="2"/>
        <w:rPr>
          <w:rFonts w:ascii="Arial"/>
          <w:b/>
          <w:sz w:val="16"/>
        </w:rPr>
      </w:pPr>
      <w:r>
        <w:rPr>
          <w:noProof/>
        </w:rPr>
        <w:drawing>
          <wp:inline distT="0" distB="0" distL="0" distR="0" wp14:anchorId="4FC66331" wp14:editId="594E66B7">
            <wp:extent cx="3165475" cy="28225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822575"/>
                    </a:xfrm>
                    <a:prstGeom prst="rect">
                      <a:avLst/>
                    </a:prstGeom>
                    <a:noFill/>
                    <a:ln>
                      <a:noFill/>
                    </a:ln>
                  </pic:spPr>
                </pic:pic>
              </a:graphicData>
            </a:graphic>
          </wp:inline>
        </w:drawing>
      </w:r>
    </w:p>
    <w:p w14:paraId="0F256681" w14:textId="28DA2028" w:rsidR="00A57E4B" w:rsidRDefault="00A57E4B">
      <w:pPr>
        <w:pStyle w:val="Textoindependiente"/>
        <w:spacing w:before="2"/>
        <w:rPr>
          <w:rFonts w:ascii="Arial"/>
          <w:b/>
          <w:sz w:val="16"/>
        </w:rPr>
      </w:pPr>
    </w:p>
    <w:p w14:paraId="53106856" w14:textId="59FCE0E1" w:rsidR="00A57E4B" w:rsidRDefault="00D65CB4">
      <w:pPr>
        <w:pStyle w:val="Textoindependiente"/>
        <w:spacing w:before="2"/>
        <w:rPr>
          <w:rFonts w:ascii="Arial"/>
          <w:b/>
          <w:sz w:val="16"/>
        </w:rPr>
      </w:pPr>
      <w:r>
        <w:t>V</w:t>
      </w:r>
      <w:r>
        <w:t xml:space="preserve">alidated miRNAs </w:t>
      </w:r>
      <w:r>
        <w:t xml:space="preserve">by </w:t>
      </w:r>
      <w:r>
        <w:t>RT-qPCR</w:t>
      </w:r>
      <w:r>
        <w:t xml:space="preserve"> show a </w:t>
      </w:r>
      <w:r>
        <w:t xml:space="preserve">regulation in respect to T2DM </w:t>
      </w:r>
      <w:r>
        <w:t xml:space="preserve">in a </w:t>
      </w:r>
      <w:r>
        <w:t>2-way ANOVA analysis.</w:t>
      </w:r>
    </w:p>
    <w:p w14:paraId="12734315" w14:textId="49CBBF85" w:rsidR="005973B9" w:rsidRDefault="005973B9" w:rsidP="005973B9">
      <w:pPr>
        <w:spacing w:line="204" w:lineRule="exact"/>
        <w:rPr>
          <w:rFonts w:ascii="Arial"/>
          <w:b/>
          <w:sz w:val="20"/>
        </w:rPr>
      </w:pPr>
      <w:r>
        <w:rPr>
          <w:rFonts w:ascii="Arial"/>
          <w:b/>
          <w:color w:val="BF5A14"/>
          <w:sz w:val="20"/>
        </w:rPr>
        <w:br/>
        <w:t>Recent Publications (minimum 5)</w:t>
      </w:r>
    </w:p>
    <w:p w14:paraId="0E6FBB40" w14:textId="4FD90F6B" w:rsidR="00096F47" w:rsidRPr="00096F47" w:rsidRDefault="00096F47" w:rsidP="00096F47">
      <w:pPr>
        <w:pStyle w:val="Prrafodelista"/>
        <w:numPr>
          <w:ilvl w:val="0"/>
          <w:numId w:val="3"/>
        </w:numPr>
        <w:tabs>
          <w:tab w:val="left" w:pos="384"/>
        </w:tabs>
        <w:spacing w:before="103" w:line="216" w:lineRule="exact"/>
        <w:ind w:right="138" w:hanging="283"/>
        <w:rPr>
          <w:rFonts w:asciiTheme="minorHAnsi" w:hAnsiTheme="minorHAnsi" w:cstheme="minorHAnsi"/>
          <w:sz w:val="18"/>
          <w:szCs w:val="18"/>
        </w:rPr>
      </w:pPr>
      <w:r w:rsidRPr="00096F47">
        <w:rPr>
          <w:rFonts w:asciiTheme="minorHAnsi" w:eastAsiaTheme="minorHAnsi" w:hAnsiTheme="minorHAnsi" w:cstheme="minorHAnsi"/>
          <w:color w:val="000000"/>
          <w:sz w:val="18"/>
          <w:szCs w:val="18"/>
          <w:lang w:val="en-AT"/>
        </w:rPr>
        <w:t xml:space="preserve">Johannes Grillari; Riikka E. Mäkitie; Roland Kocijan; Judith Haschka; </w:t>
      </w:r>
      <w:r w:rsidRPr="00096F47">
        <w:rPr>
          <w:rFonts w:asciiTheme="minorHAnsi" w:eastAsiaTheme="minorHAnsi" w:hAnsiTheme="minorHAnsi" w:cstheme="minorHAnsi"/>
          <w:b/>
          <w:bCs/>
          <w:color w:val="000000"/>
          <w:sz w:val="18"/>
          <w:szCs w:val="18"/>
          <w:lang w:val="en-AT"/>
        </w:rPr>
        <w:t>David Carro Vázquez</w:t>
      </w:r>
      <w:r w:rsidRPr="00096F47">
        <w:rPr>
          <w:rFonts w:asciiTheme="minorHAnsi" w:eastAsiaTheme="minorHAnsi" w:hAnsiTheme="minorHAnsi" w:cstheme="minorHAnsi"/>
          <w:color w:val="000000"/>
          <w:sz w:val="18"/>
          <w:szCs w:val="18"/>
          <w:lang w:val="en-AT"/>
        </w:rPr>
        <w:t xml:space="preserve">; Elisabeth Semmelrock, Matthias Hackl. Circulating miRNAs in bone health and disease. Bone, 2020 DOI: 10.1016/j.bone.2020.115787 </w:t>
      </w:r>
    </w:p>
    <w:p w14:paraId="7AD2375C" w14:textId="77777777" w:rsidR="00D65CB4" w:rsidRDefault="00D65CB4">
      <w:pPr>
        <w:spacing w:line="200" w:lineRule="exact"/>
        <w:jc w:val="both"/>
        <w:rPr>
          <w:rFonts w:ascii="Calibri" w:hAnsi="Calibri"/>
        </w:rPr>
      </w:pPr>
    </w:p>
    <w:p w14:paraId="491D3BE9" w14:textId="44D00164"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1902AF2" w14:textId="77777777" w:rsidR="00AE3E37" w:rsidRDefault="00AE3E37">
      <w:pPr>
        <w:pStyle w:val="Textoindependiente"/>
        <w:rPr>
          <w:rFonts w:ascii="Calibri"/>
          <w:sz w:val="20"/>
        </w:rPr>
      </w:pPr>
    </w:p>
    <w:p w14:paraId="12CC3C77"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7E3B83A1" wp14:editId="4C35A5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5B48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0385DB3" w14:textId="35AFBFE2" w:rsidR="00AE3E37" w:rsidRDefault="008756E6" w:rsidP="00404E5B">
      <w:pPr>
        <w:spacing w:before="92"/>
        <w:ind w:right="4234"/>
        <w:rPr>
          <w:rFonts w:ascii="Arial"/>
        </w:rPr>
      </w:pPr>
      <w:r>
        <w:rPr>
          <w:noProof/>
        </w:rPr>
        <w:t xml:space="preserve">              </w:t>
      </w:r>
      <w:r w:rsidR="00496968">
        <w:rPr>
          <w:noProof/>
        </w:rPr>
        <w:drawing>
          <wp:inline distT="0" distB="0" distL="0" distR="0" wp14:anchorId="2217C572" wp14:editId="7AFACC75">
            <wp:extent cx="670560" cy="6705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4A26A3C" w14:textId="61DDCAF6" w:rsidR="00D65CB4" w:rsidRDefault="00496968" w:rsidP="00496968">
      <w:pPr>
        <w:tabs>
          <w:tab w:val="left" w:pos="9498"/>
          <w:tab w:val="left" w:pos="9639"/>
        </w:tabs>
        <w:spacing w:before="62"/>
        <w:ind w:left="9498" w:right="909" w:hanging="9072"/>
        <w:rPr>
          <w:sz w:val="18"/>
          <w:szCs w:val="18"/>
          <w:shd w:val="clear" w:color="auto" w:fill="FFFFFF"/>
        </w:rPr>
      </w:pPr>
      <w:r w:rsidRPr="00496968">
        <w:rPr>
          <w:sz w:val="18"/>
          <w:szCs w:val="18"/>
        </w:rPr>
        <w:t xml:space="preserve">David Carro Vázquez has </w:t>
      </w:r>
      <w:r w:rsidRPr="00496968">
        <w:rPr>
          <w:sz w:val="18"/>
          <w:szCs w:val="18"/>
          <w:shd w:val="clear" w:color="auto" w:fill="FFFFFF"/>
        </w:rPr>
        <w:t>obtained both his Bachelor in Biochemistry and his  Master’s degree in Biotechnology</w:t>
      </w:r>
      <w:r w:rsidR="00D65CB4">
        <w:rPr>
          <w:sz w:val="18"/>
          <w:szCs w:val="18"/>
          <w:shd w:val="clear" w:color="auto" w:fill="FFFFFF"/>
        </w:rPr>
        <w:t xml:space="preserve"> from</w:t>
      </w:r>
      <w:r w:rsidRPr="00496968">
        <w:rPr>
          <w:sz w:val="18"/>
          <w:szCs w:val="18"/>
          <w:shd w:val="clear" w:color="auto" w:fill="FFFFFF"/>
        </w:rPr>
        <w:t xml:space="preserve"> </w:t>
      </w:r>
      <w:r w:rsidR="00D65CB4">
        <w:rPr>
          <w:sz w:val="18"/>
          <w:szCs w:val="18"/>
          <w:shd w:val="clear" w:color="auto" w:fill="FFFFFF"/>
        </w:rPr>
        <w:t>the University</w:t>
      </w:r>
    </w:p>
    <w:p w14:paraId="4D6F7168" w14:textId="4DED23BC" w:rsidR="002E547D" w:rsidRPr="002E547D" w:rsidRDefault="00496968" w:rsidP="00D65CB4">
      <w:pPr>
        <w:tabs>
          <w:tab w:val="left" w:pos="9498"/>
          <w:tab w:val="left" w:pos="9639"/>
        </w:tabs>
        <w:spacing w:before="62"/>
        <w:ind w:left="426" w:right="909"/>
        <w:rPr>
          <w:sz w:val="18"/>
          <w:szCs w:val="18"/>
        </w:rPr>
      </w:pPr>
      <w:r w:rsidRPr="00496968">
        <w:rPr>
          <w:sz w:val="18"/>
          <w:szCs w:val="18"/>
          <w:shd w:val="clear" w:color="auto" w:fill="FFFFFF"/>
        </w:rPr>
        <w:t>of Málaga, Spain, where he conducted mass spectrometry nuclear profiling of brain cancer cells In addition, he underwent</w:t>
      </w:r>
      <w:r w:rsidR="00D65CB4">
        <w:rPr>
          <w:sz w:val="18"/>
          <w:szCs w:val="18"/>
          <w:shd w:val="clear" w:color="auto" w:fill="FFFFFF"/>
        </w:rPr>
        <w:t xml:space="preserve"> </w:t>
      </w:r>
      <w:r w:rsidRPr="00496968">
        <w:rPr>
          <w:sz w:val="18"/>
          <w:szCs w:val="18"/>
          <w:shd w:val="clear" w:color="auto" w:fill="FFFFFF"/>
        </w:rPr>
        <w:t>placements for bone research projects both at the University of Ulm, Germany as well as at CNRS in Nice, France. After</w:t>
      </w:r>
      <w:r w:rsidR="00D65CB4">
        <w:rPr>
          <w:sz w:val="18"/>
          <w:szCs w:val="18"/>
          <w:shd w:val="clear" w:color="auto" w:fill="FFFFFF"/>
        </w:rPr>
        <w:t xml:space="preserve"> </w:t>
      </w:r>
      <w:r w:rsidRPr="00496968">
        <w:rPr>
          <w:sz w:val="18"/>
          <w:szCs w:val="18"/>
          <w:shd w:val="clear" w:color="auto" w:fill="FFFFFF"/>
        </w:rPr>
        <w:t>completing his Master project, David worked at the Charité Berlin, where his research focused on investigating the role of mesenteric fat T cells in Crohn’s disease. Currently, he is working within the FIDELIO Marie Curie ITN</w:t>
      </w:r>
      <w:r w:rsidRPr="00496968">
        <w:rPr>
          <w:sz w:val="18"/>
          <w:szCs w:val="18"/>
        </w:rPr>
        <w:t xml:space="preserve"> at TAmiRNA GmbH. </w:t>
      </w:r>
    </w:p>
    <w:p w14:paraId="475E8EFA" w14:textId="49B7D3CA"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496968" w:rsidRPr="00E60A34">
          <w:rPr>
            <w:rStyle w:val="Hipervnculo"/>
            <w:rFonts w:ascii="Arial"/>
            <w:sz w:val="14"/>
          </w:rPr>
          <w:t>david.carro.vazquez@tamirna.com</w:t>
        </w:r>
      </w:hyperlink>
      <w:r>
        <w:rPr>
          <w:rStyle w:val="Hipervnculo"/>
          <w:rFonts w:ascii="Arial"/>
          <w:sz w:val="14"/>
        </w:rPr>
        <w:t xml:space="preserve"> </w:t>
      </w:r>
      <w:r w:rsidRPr="003F175B">
        <w:rPr>
          <w:rStyle w:val="Hipervnculo"/>
          <w:rFonts w:ascii="Arial"/>
          <w:sz w:val="14"/>
          <w:u w:val="none"/>
        </w:rPr>
        <w:t xml:space="preserve">    </w:t>
      </w:r>
      <w:r w:rsidRPr="00364417">
        <w:rPr>
          <w:rStyle w:val="Hipervnculo"/>
          <w:rFonts w:ascii="Arial"/>
          <w:color w:val="auto"/>
          <w:sz w:val="14"/>
          <w:u w:val="none"/>
        </w:rPr>
        <w:t>Contact No</w:t>
      </w:r>
      <w:r w:rsidRPr="003F175B">
        <w:rPr>
          <w:rStyle w:val="Hipervnculo"/>
          <w:rFonts w:ascii="Arial"/>
          <w:sz w:val="14"/>
          <w:u w:val="none"/>
        </w:rPr>
        <w:t xml:space="preserve">: </w:t>
      </w:r>
      <w:r w:rsidR="00496968">
        <w:rPr>
          <w:rStyle w:val="Hipervnculo"/>
          <w:rFonts w:ascii="Arial"/>
          <w:sz w:val="14"/>
          <w:u w:val="none"/>
        </w:rPr>
        <w:t>+4313913322</w:t>
      </w:r>
    </w:p>
    <w:p w14:paraId="119FF1C0"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C85ADC8" wp14:editId="3F68BB2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2AD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00A1FED" w14:textId="77777777" w:rsidR="00AE3E37" w:rsidRDefault="00AE3E37">
      <w:pPr>
        <w:pStyle w:val="Textoindependiente"/>
        <w:rPr>
          <w:rFonts w:ascii="Arial"/>
          <w:sz w:val="20"/>
        </w:rPr>
      </w:pPr>
    </w:p>
    <w:p w14:paraId="5F77A462" w14:textId="77777777" w:rsidR="00AE3E37" w:rsidRDefault="00AE3E37">
      <w:pPr>
        <w:pStyle w:val="Textoindependiente"/>
        <w:rPr>
          <w:rFonts w:ascii="Arial"/>
          <w:sz w:val="20"/>
        </w:rPr>
      </w:pPr>
    </w:p>
    <w:p w14:paraId="0BEA22EA" w14:textId="77777777" w:rsidR="00AE3E37" w:rsidRDefault="00AE3E37">
      <w:pPr>
        <w:pStyle w:val="Textoindependiente"/>
        <w:spacing w:before="7"/>
        <w:rPr>
          <w:rFonts w:ascii="Arial"/>
          <w:sz w:val="29"/>
        </w:rPr>
      </w:pPr>
    </w:p>
    <w:p w14:paraId="304A2048" w14:textId="77777777" w:rsidR="00AE3E37" w:rsidRPr="00B21A57" w:rsidRDefault="00A9710C">
      <w:pPr>
        <w:spacing w:before="39"/>
        <w:ind w:left="100"/>
        <w:rPr>
          <w:rFonts w:ascii="Minion Pro"/>
          <w:b/>
          <w:sz w:val="20"/>
        </w:rPr>
      </w:pPr>
      <w:r w:rsidRPr="00B21A57">
        <w:rPr>
          <w:rFonts w:ascii="Minion Pro"/>
          <w:b/>
          <w:sz w:val="20"/>
        </w:rPr>
        <w:t>Notes/Comments:</w:t>
      </w:r>
    </w:p>
    <w:p w14:paraId="26C5499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9A5F59B"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034C" w14:textId="77777777" w:rsidR="001F7254" w:rsidRDefault="001F7254">
      <w:r>
        <w:separator/>
      </w:r>
    </w:p>
  </w:endnote>
  <w:endnote w:type="continuationSeparator" w:id="0">
    <w:p w14:paraId="257FC741" w14:textId="77777777" w:rsidR="001F7254" w:rsidRDefault="001F7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034B"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B0B2293" wp14:editId="353A25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1CD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60EA4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B229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8A1CD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60EA4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2CF2FED" wp14:editId="316E5D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414E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62E1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F2FE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2C414E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62E1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209DA39" wp14:editId="7F05B18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9E8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D34D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9DA3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C29E8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D34D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FFB27" w14:textId="77777777" w:rsidR="001F7254" w:rsidRDefault="001F7254">
      <w:r>
        <w:separator/>
      </w:r>
    </w:p>
  </w:footnote>
  <w:footnote w:type="continuationSeparator" w:id="0">
    <w:p w14:paraId="42A74F80" w14:textId="77777777" w:rsidR="001F7254" w:rsidRDefault="001F7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5657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BF649AC" wp14:editId="1275447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81C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F649A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8781C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7D17D07" wp14:editId="7AB6348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49F1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B821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17D0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5E49F1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B821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6F47"/>
    <w:rsid w:val="000E2911"/>
    <w:rsid w:val="001263DF"/>
    <w:rsid w:val="001F7254"/>
    <w:rsid w:val="00292ED9"/>
    <w:rsid w:val="002E547D"/>
    <w:rsid w:val="00364417"/>
    <w:rsid w:val="003F175B"/>
    <w:rsid w:val="00404E5B"/>
    <w:rsid w:val="00414F7B"/>
    <w:rsid w:val="004355DC"/>
    <w:rsid w:val="004749B4"/>
    <w:rsid w:val="00494130"/>
    <w:rsid w:val="00496968"/>
    <w:rsid w:val="004F3523"/>
    <w:rsid w:val="005655EB"/>
    <w:rsid w:val="00591316"/>
    <w:rsid w:val="005973B9"/>
    <w:rsid w:val="005B3A56"/>
    <w:rsid w:val="006060CE"/>
    <w:rsid w:val="0063497F"/>
    <w:rsid w:val="00782212"/>
    <w:rsid w:val="00873DF0"/>
    <w:rsid w:val="008756E6"/>
    <w:rsid w:val="009B2D44"/>
    <w:rsid w:val="00A07E82"/>
    <w:rsid w:val="00A57E4B"/>
    <w:rsid w:val="00A9710C"/>
    <w:rsid w:val="00AE3E37"/>
    <w:rsid w:val="00B21A57"/>
    <w:rsid w:val="00C33602"/>
    <w:rsid w:val="00CD6F55"/>
    <w:rsid w:val="00D65CB4"/>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5EA55"/>
  <w15:docId w15:val="{BF702E15-7EDA-4984-A120-0122432E7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496968"/>
    <w:rPr>
      <w:color w:val="605E5C"/>
      <w:shd w:val="clear" w:color="auto" w:fill="E1DFDD"/>
    </w:rPr>
  </w:style>
  <w:style w:type="paragraph" w:customStyle="1" w:styleId="Default">
    <w:name w:val="Default"/>
    <w:rsid w:val="00096F47"/>
    <w:pPr>
      <w:widowControl/>
      <w:autoSpaceDE w:val="0"/>
      <w:autoSpaceDN w:val="0"/>
      <w:adjustRightInd w:val="0"/>
    </w:pPr>
    <w:rPr>
      <w:rFonts w:ascii="Times New Roman" w:hAnsi="Times New Roman" w:cs="Times New Roman"/>
      <w:color w:val="000000"/>
      <w:sz w:val="24"/>
      <w:szCs w:val="24"/>
      <w:lang w:val="en-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vid.carro.vazquez@tamirna.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497</Words>
  <Characters>2839</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david carro</cp:lastModifiedBy>
  <cp:revision>15</cp:revision>
  <dcterms:created xsi:type="dcterms:W3CDTF">2016-08-31T10:27:00Z</dcterms:created>
  <dcterms:modified xsi:type="dcterms:W3CDTF">2021-08-31T07:55:00Z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