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905" w:rsidRDefault="00E81905" w:rsidP="0081632B">
      <w:pPr>
        <w:spacing w:line="360" w:lineRule="auto"/>
        <w:jc w:val="both"/>
        <w:rPr>
          <w:rFonts w:ascii="Times New Roman" w:hAnsi="Times New Roman"/>
          <w:sz w:val="28"/>
          <w:szCs w:val="28"/>
        </w:rPr>
      </w:pPr>
      <w:bookmarkStart w:id="0" w:name="_GoBack"/>
      <w:bookmarkEnd w:id="0"/>
      <w:r>
        <w:rPr>
          <w:rFonts w:ascii="Times New Roman" w:hAnsi="Times New Roman"/>
          <w:sz w:val="28"/>
          <w:szCs w:val="28"/>
        </w:rPr>
        <w:t>E</w:t>
      </w:r>
      <w:r w:rsidR="0081632B">
        <w:rPr>
          <w:rFonts w:ascii="Times New Roman" w:hAnsi="Times New Roman"/>
          <w:sz w:val="28"/>
          <w:szCs w:val="28"/>
        </w:rPr>
        <w:t>RYTHROPOIETIN PROTECTS AGAINST COGNITIVE IMPAIRMENT AND HIPPOCAMPAL NEURODEGENERATION IN DIABETIC MICE</w:t>
      </w:r>
    </w:p>
    <w:p w:rsidR="00E81905" w:rsidRDefault="00E81905" w:rsidP="00E81905">
      <w:pPr>
        <w:spacing w:line="360" w:lineRule="auto"/>
        <w:jc w:val="both"/>
        <w:rPr>
          <w:rFonts w:ascii="Times New Roman" w:hAnsi="Times New Roman"/>
          <w:sz w:val="24"/>
          <w:szCs w:val="24"/>
        </w:rPr>
      </w:pPr>
    </w:p>
    <w:p w:rsidR="00E81905" w:rsidRDefault="00E81905" w:rsidP="00E81905">
      <w:pPr>
        <w:spacing w:line="360" w:lineRule="auto"/>
        <w:jc w:val="both"/>
        <w:rPr>
          <w:rFonts w:ascii="Times New Roman" w:hAnsi="Times New Roman"/>
          <w:sz w:val="24"/>
          <w:szCs w:val="24"/>
        </w:rPr>
      </w:pPr>
      <w:r>
        <w:rPr>
          <w:rFonts w:ascii="Times New Roman" w:hAnsi="Times New Roman"/>
          <w:sz w:val="24"/>
          <w:szCs w:val="24"/>
        </w:rPr>
        <w:t>Al-Ansari AH</w:t>
      </w:r>
      <w:r>
        <w:rPr>
          <w:rFonts w:ascii="Times New Roman" w:hAnsi="Times New Roman"/>
          <w:sz w:val="24"/>
          <w:szCs w:val="24"/>
          <w:vertAlign w:val="superscript"/>
        </w:rPr>
        <w:t>1</w:t>
      </w:r>
      <w:r>
        <w:rPr>
          <w:rFonts w:ascii="Times New Roman" w:hAnsi="Times New Roman"/>
          <w:sz w:val="24"/>
          <w:szCs w:val="24"/>
        </w:rPr>
        <w:t>,</w:t>
      </w:r>
      <w:r>
        <w:rPr>
          <w:rFonts w:ascii="Times New Roman" w:hAnsi="Times New Roman"/>
          <w:sz w:val="24"/>
          <w:szCs w:val="24"/>
          <w:vertAlign w:val="superscript"/>
        </w:rPr>
        <w:t xml:space="preserve"> </w:t>
      </w:r>
      <w:r>
        <w:rPr>
          <w:rFonts w:ascii="Times New Roman" w:hAnsi="Times New Roman"/>
          <w:sz w:val="24"/>
          <w:szCs w:val="24"/>
        </w:rPr>
        <w:t>Othman MA</w:t>
      </w:r>
      <w:r>
        <w:rPr>
          <w:rFonts w:ascii="Times New Roman" w:hAnsi="Times New Roman"/>
          <w:sz w:val="24"/>
          <w:szCs w:val="24"/>
          <w:vertAlign w:val="superscript"/>
        </w:rPr>
        <w:t>1</w:t>
      </w:r>
      <w:r>
        <w:rPr>
          <w:rFonts w:ascii="Times New Roman" w:hAnsi="Times New Roman"/>
          <w:sz w:val="24"/>
          <w:szCs w:val="24"/>
        </w:rPr>
        <w:t>, Rajab E</w:t>
      </w:r>
      <w:r>
        <w:rPr>
          <w:rFonts w:ascii="Times New Roman" w:hAnsi="Times New Roman"/>
          <w:sz w:val="24"/>
          <w:szCs w:val="24"/>
          <w:vertAlign w:val="superscript"/>
        </w:rPr>
        <w:t>2</w:t>
      </w:r>
      <w:r>
        <w:rPr>
          <w:rFonts w:ascii="Times New Roman" w:hAnsi="Times New Roman"/>
          <w:sz w:val="24"/>
          <w:szCs w:val="24"/>
        </w:rPr>
        <w:t xml:space="preserve">,. </w:t>
      </w:r>
      <w:r>
        <w:rPr>
          <w:rFonts w:ascii="Times New Roman" w:hAnsi="Times New Roman"/>
          <w:sz w:val="24"/>
          <w:szCs w:val="24"/>
          <w:vertAlign w:val="superscript"/>
        </w:rPr>
        <w:t>1</w:t>
      </w:r>
      <w:r>
        <w:rPr>
          <w:rFonts w:ascii="Times New Roman" w:hAnsi="Times New Roman"/>
          <w:sz w:val="24"/>
          <w:szCs w:val="24"/>
        </w:rPr>
        <w:t>College of Medicine and Medical Sciences, P.O. Box 22979,</w:t>
      </w:r>
      <w:r>
        <w:rPr>
          <w:sz w:val="12"/>
          <w:szCs w:val="12"/>
        </w:rPr>
        <w:t xml:space="preserve"> </w:t>
      </w:r>
      <w:r>
        <w:rPr>
          <w:rFonts w:ascii="Times New Roman" w:hAnsi="Times New Roman"/>
          <w:sz w:val="24"/>
          <w:szCs w:val="24"/>
        </w:rPr>
        <w:t>Arabian Gulf University, Bahrain; Royal College of Surgeons in Ireland, P.O. Box 15503</w:t>
      </w:r>
      <w:r>
        <w:rPr>
          <w:rFonts w:ascii="Times New Roman" w:hAnsi="Times New Roman"/>
          <w:sz w:val="24"/>
          <w:szCs w:val="24"/>
          <w:shd w:val="clear" w:color="auto" w:fill="FFFFFF" w:themeFill="background1"/>
        </w:rPr>
        <w:t>,</w:t>
      </w:r>
      <w:r>
        <w:rPr>
          <w:rFonts w:ascii="Times New Roman" w:hAnsi="Times New Roman"/>
          <w:color w:val="000000"/>
          <w:sz w:val="24"/>
          <w:szCs w:val="24"/>
          <w:shd w:val="clear" w:color="auto" w:fill="FFFFFF" w:themeFill="background1"/>
        </w:rPr>
        <w:t xml:space="preserve"> </w:t>
      </w:r>
      <w:r>
        <w:rPr>
          <w:rFonts w:ascii="Times New Roman" w:hAnsi="Times New Roman"/>
          <w:sz w:val="24"/>
          <w:szCs w:val="24"/>
          <w:shd w:val="clear" w:color="auto" w:fill="FFFFFF" w:themeFill="background1"/>
        </w:rPr>
        <w:t>B</w:t>
      </w:r>
      <w:r>
        <w:rPr>
          <w:rFonts w:ascii="Times New Roman" w:hAnsi="Times New Roman"/>
          <w:sz w:val="24"/>
          <w:szCs w:val="24"/>
        </w:rPr>
        <w:t>ahrain.</w:t>
      </w:r>
    </w:p>
    <w:p w:rsidR="00E81905" w:rsidRDefault="00E81905" w:rsidP="00E81905">
      <w:pPr>
        <w:spacing w:line="360" w:lineRule="auto"/>
        <w:jc w:val="both"/>
      </w:pPr>
    </w:p>
    <w:p w:rsidR="00E81905" w:rsidRDefault="00E81905" w:rsidP="00E81905">
      <w:pPr>
        <w:spacing w:line="360" w:lineRule="auto"/>
        <w:jc w:val="both"/>
      </w:pPr>
    </w:p>
    <w:p w:rsidR="00E81905" w:rsidRDefault="00E81905" w:rsidP="00E81905">
      <w:pPr>
        <w:spacing w:line="360" w:lineRule="auto"/>
        <w:jc w:val="both"/>
        <w:rPr>
          <w:rFonts w:ascii="Times New Roman" w:hAnsi="Times New Roman"/>
          <w:b/>
          <w:sz w:val="24"/>
          <w:szCs w:val="24"/>
        </w:rPr>
      </w:pPr>
      <w:r>
        <w:rPr>
          <w:rFonts w:ascii="Times New Roman" w:hAnsi="Times New Roman"/>
          <w:b/>
          <w:sz w:val="24"/>
          <w:szCs w:val="24"/>
        </w:rPr>
        <w:t>Abstract</w:t>
      </w:r>
    </w:p>
    <w:p w:rsidR="00E81905" w:rsidRDefault="00E81905" w:rsidP="00FE3152">
      <w:pPr>
        <w:spacing w:line="360" w:lineRule="auto"/>
        <w:jc w:val="both"/>
        <w:rPr>
          <w:rFonts w:ascii="Times New Roman" w:hAnsi="Times New Roman"/>
          <w:color w:val="000000" w:themeColor="text1"/>
          <w:sz w:val="24"/>
          <w:szCs w:val="24"/>
        </w:rPr>
      </w:pPr>
      <w:r>
        <w:rPr>
          <w:rFonts w:ascii="Times New Roman" w:hAnsi="Times New Roman"/>
          <w:sz w:val="24"/>
          <w:szCs w:val="24"/>
          <w:lang w:val="en-GB"/>
        </w:rPr>
        <w:t xml:space="preserve">The aim of this study was to determine whether EPO administration protects against the impairment of cognitive function and motor performance, as well as degenerative changes in the hippocampus, associated with long-term diabetes. </w:t>
      </w:r>
      <w:r>
        <w:rPr>
          <w:rFonts w:ascii="Times New Roman" w:hAnsi="Times New Roman"/>
          <w:sz w:val="24"/>
          <w:szCs w:val="24"/>
        </w:rPr>
        <w:t xml:space="preserve">Twelve male BALB/c mice aged 5-7 weeks (20-25g) were administered streptozotocin i.p. (STZ) 55mg/kg/day for 5 days.  Diabetic mice were then randomly assigned to either control (i.e. sodium citrate buffer i.p.) (n=6), or EPO treatment 5U/g/day (dissolved in sodium citrate buffer; i.p.) (n=6), three times per week </w:t>
      </w:r>
      <w:r>
        <w:rPr>
          <w:rFonts w:ascii="Times New Roman" w:hAnsi="Times New Roman"/>
          <w:color w:val="000000" w:themeColor="text1"/>
          <w:sz w:val="24"/>
          <w:szCs w:val="24"/>
        </w:rPr>
        <w:t>for a period of 10 weeks starting the day after the first administration of STZ. An additional group of six mice served as normal controls.  At the end of the treatment period, cognitive performance was assessed in</w:t>
      </w:r>
      <w:r w:rsidR="0081632B">
        <w:rPr>
          <w:rFonts w:ascii="Times New Roman" w:hAnsi="Times New Roman"/>
          <w:color w:val="000000" w:themeColor="text1"/>
          <w:sz w:val="24"/>
          <w:szCs w:val="24"/>
        </w:rPr>
        <w:t xml:space="preserve"> Morris water maze</w:t>
      </w:r>
      <w:r>
        <w:rPr>
          <w:rFonts w:ascii="Times New Roman" w:hAnsi="Times New Roman"/>
          <w:color w:val="000000" w:themeColor="text1"/>
          <w:sz w:val="24"/>
          <w:szCs w:val="24"/>
        </w:rPr>
        <w:t xml:space="preserve">. Mice were killed by overdosing with ether </w:t>
      </w:r>
      <w:r w:rsidR="0081632B">
        <w:rPr>
          <w:rFonts w:ascii="Times New Roman" w:hAnsi="Times New Roman"/>
          <w:color w:val="000000" w:themeColor="text1"/>
          <w:sz w:val="24"/>
          <w:szCs w:val="24"/>
        </w:rPr>
        <w:t>and decapitated</w:t>
      </w:r>
      <w:r>
        <w:rPr>
          <w:rFonts w:ascii="Times New Roman" w:hAnsi="Times New Roman"/>
          <w:color w:val="000000" w:themeColor="text1"/>
          <w:sz w:val="24"/>
          <w:szCs w:val="24"/>
        </w:rPr>
        <w:t xml:space="preserve">. The brains were processed for light microscopic evaluation of CA1, CA3 and dentate gyrus (DG) regions of the hippocampus, staining </w:t>
      </w:r>
      <w:r w:rsidR="00FE3152">
        <w:rPr>
          <w:rFonts w:ascii="Times New Roman" w:hAnsi="Times New Roman"/>
          <w:color w:val="000000" w:themeColor="text1"/>
          <w:sz w:val="24"/>
          <w:szCs w:val="24"/>
        </w:rPr>
        <w:t xml:space="preserve">was </w:t>
      </w:r>
      <w:r>
        <w:rPr>
          <w:rFonts w:ascii="Times New Roman" w:hAnsi="Times New Roman"/>
          <w:color w:val="000000" w:themeColor="text1"/>
          <w:sz w:val="24"/>
          <w:szCs w:val="24"/>
        </w:rPr>
        <w:t xml:space="preserve">with haemotoxylin-Eosin and cresyl violet (for Nissl granules).  In the water maze, control animals showed improvement in escape latency and distance swam over the five days. There was a similar trend for the EPO-treated diabetics although this was not significant. By contrast, diabetics showed a deterioration in escape </w:t>
      </w:r>
      <w:r w:rsidR="0081632B">
        <w:rPr>
          <w:rFonts w:ascii="Times New Roman" w:hAnsi="Times New Roman"/>
          <w:color w:val="000000" w:themeColor="text1"/>
          <w:sz w:val="24"/>
          <w:szCs w:val="24"/>
        </w:rPr>
        <w:t>latency.</w:t>
      </w:r>
      <w:r>
        <w:rPr>
          <w:rFonts w:ascii="Times New Roman" w:hAnsi="Times New Roman"/>
          <w:color w:val="000000" w:themeColor="text1"/>
          <w:sz w:val="24"/>
          <w:szCs w:val="24"/>
        </w:rPr>
        <w:t xml:space="preserve"> There were evidence of neurodegeneration in all regions of the hippocampus of diabetic animals as well as a reduction in numbers of granule cells in the DG; these effects were reduced in EPO-treated diabetics. In conclusion, chronic EPO-treatment is protective against cognitive deficits and hippocampal neurodegeneration in diabetic mice.</w:t>
      </w:r>
    </w:p>
    <w:p w:rsidR="00B25B70" w:rsidRDefault="00B25B70"/>
    <w:p w:rsidR="006748F2" w:rsidRDefault="006748F2"/>
    <w:p w:rsidR="006748F2" w:rsidRDefault="006748F2"/>
    <w:p w:rsidR="006748F2" w:rsidRDefault="006748F2"/>
    <w:p w:rsidR="006748F2" w:rsidRDefault="006748F2"/>
    <w:p w:rsidR="006748F2" w:rsidRDefault="006748F2"/>
    <w:p w:rsidR="006748F2" w:rsidRDefault="006748F2">
      <w:r>
        <w:rPr>
          <w:noProof/>
        </w:rPr>
        <w:lastRenderedPageBreak/>
        <w:drawing>
          <wp:inline distT="0" distB="0" distL="0" distR="0">
            <wp:extent cx="5943600" cy="75761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7576185"/>
                    </a:xfrm>
                    <a:prstGeom prst="rect">
                      <a:avLst/>
                    </a:prstGeom>
                    <a:noFill/>
                    <a:ln>
                      <a:noFill/>
                    </a:ln>
                  </pic:spPr>
                </pic:pic>
              </a:graphicData>
            </a:graphic>
          </wp:inline>
        </w:drawing>
      </w:r>
    </w:p>
    <w:p w:rsidR="006748F2" w:rsidRDefault="006748F2"/>
    <w:p w:rsidR="006748F2" w:rsidRDefault="006748F2"/>
    <w:p w:rsidR="006748F2" w:rsidRDefault="006748F2"/>
    <w:p w:rsidR="006748F2" w:rsidRDefault="006748F2">
      <w:r>
        <w:rPr>
          <w:noProof/>
        </w:rPr>
        <w:drawing>
          <wp:inline distT="0" distB="0" distL="0" distR="0">
            <wp:extent cx="5932805" cy="52901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2805" cy="5290185"/>
                    </a:xfrm>
                    <a:prstGeom prst="rect">
                      <a:avLst/>
                    </a:prstGeom>
                    <a:noFill/>
                    <a:ln>
                      <a:noFill/>
                    </a:ln>
                  </pic:spPr>
                </pic:pic>
              </a:graphicData>
            </a:graphic>
          </wp:inline>
        </w:drawing>
      </w:r>
    </w:p>
    <w:p w:rsidR="006748F2" w:rsidRDefault="006748F2"/>
    <w:sectPr w:rsidR="00674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905"/>
    <w:rsid w:val="00091672"/>
    <w:rsid w:val="006748F2"/>
    <w:rsid w:val="0081632B"/>
    <w:rsid w:val="00B25B70"/>
    <w:rsid w:val="00E81905"/>
    <w:rsid w:val="00FE31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154564-1784-406B-9A5E-7ECD97AEF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90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43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Hussain Al-Ansari</dc:creator>
  <cp:keywords/>
  <dc:description/>
  <cp:lastModifiedBy>Amer Hussain Al-Ansari</cp:lastModifiedBy>
  <cp:revision>2</cp:revision>
  <dcterms:created xsi:type="dcterms:W3CDTF">2018-01-31T06:28:00Z</dcterms:created>
  <dcterms:modified xsi:type="dcterms:W3CDTF">2018-01-31T06:28:00Z</dcterms:modified>
</cp:coreProperties>
</file>