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B00" w:rsidRPr="00ED2596" w:rsidRDefault="00B77B00" w:rsidP="00A3611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bidi="fa-IR"/>
        </w:rPr>
        <w:t>Effect</w:t>
      </w:r>
      <w:r w:rsidRPr="00255009">
        <w:rPr>
          <w:rFonts w:ascii="Times New Roman" w:hAnsi="Times New Roman" w:cs="Times New Roman"/>
          <w:b/>
          <w:bCs/>
          <w:sz w:val="28"/>
          <w:szCs w:val="28"/>
        </w:rPr>
        <w:t xml:space="preserve"> of </w:t>
      </w:r>
      <w:r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255009">
        <w:rPr>
          <w:rFonts w:ascii="Times New Roman" w:hAnsi="Times New Roman" w:cs="Times New Roman"/>
          <w:b/>
          <w:bCs/>
          <w:sz w:val="28"/>
          <w:szCs w:val="28"/>
        </w:rPr>
        <w:t xml:space="preserve">innamon 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255009">
        <w:rPr>
          <w:rFonts w:ascii="Times New Roman" w:hAnsi="Times New Roman" w:cs="Times New Roman"/>
          <w:b/>
          <w:bCs/>
          <w:sz w:val="28"/>
          <w:szCs w:val="28"/>
        </w:rPr>
        <w:t xml:space="preserve">upplementation on </w:t>
      </w:r>
      <w:r>
        <w:rPr>
          <w:rFonts w:ascii="Times New Roman" w:hAnsi="Times New Roman" w:cs="Times New Roman"/>
          <w:b/>
          <w:bCs/>
          <w:sz w:val="28"/>
          <w:szCs w:val="28"/>
        </w:rPr>
        <w:t>g</w:t>
      </w:r>
      <w:r w:rsidRPr="00255009">
        <w:rPr>
          <w:rFonts w:ascii="Times New Roman" w:hAnsi="Times New Roman" w:cs="Times New Roman"/>
          <w:b/>
          <w:bCs/>
          <w:sz w:val="28"/>
          <w:szCs w:val="28"/>
        </w:rPr>
        <w:t xml:space="preserve">lycemic </w:t>
      </w:r>
      <w:r>
        <w:rPr>
          <w:rFonts w:ascii="Times New Roman" w:hAnsi="Times New Roman" w:cs="Times New Roman"/>
          <w:b/>
          <w:bCs/>
          <w:sz w:val="28"/>
          <w:szCs w:val="28"/>
        </w:rPr>
        <w:t>indices</w:t>
      </w:r>
      <w:r w:rsidRPr="00255009"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r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255009">
        <w:rPr>
          <w:rFonts w:ascii="Times New Roman" w:hAnsi="Times New Roman" w:cs="Times New Roman"/>
          <w:b/>
          <w:bCs/>
          <w:sz w:val="28"/>
          <w:szCs w:val="28"/>
        </w:rPr>
        <w:t xml:space="preserve">ipid </w:t>
      </w:r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255009">
        <w:rPr>
          <w:rFonts w:ascii="Times New Roman" w:hAnsi="Times New Roman" w:cs="Times New Roman"/>
          <w:b/>
          <w:bCs/>
          <w:sz w:val="28"/>
          <w:szCs w:val="28"/>
        </w:rPr>
        <w:t>rofiles in type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5009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diabetic patients</w:t>
      </w:r>
      <w:r w:rsidRPr="00255009">
        <w:rPr>
          <w:rFonts w:ascii="Times New Roman" w:hAnsi="Times New Roman" w:cs="Times New Roman"/>
          <w:b/>
          <w:bCs/>
          <w:sz w:val="28"/>
          <w:szCs w:val="28"/>
        </w:rPr>
        <w:t xml:space="preserve">: a 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255009">
        <w:rPr>
          <w:rFonts w:ascii="Times New Roman" w:hAnsi="Times New Roman" w:cs="Times New Roman"/>
          <w:b/>
          <w:bCs/>
          <w:sz w:val="28"/>
          <w:szCs w:val="28"/>
        </w:rPr>
        <w:t xml:space="preserve">ystematic </w:t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255009">
        <w:rPr>
          <w:rFonts w:ascii="Times New Roman" w:hAnsi="Times New Roman" w:cs="Times New Roman"/>
          <w:b/>
          <w:bCs/>
          <w:sz w:val="28"/>
          <w:szCs w:val="28"/>
        </w:rPr>
        <w:t xml:space="preserve">eview and </w:t>
      </w:r>
      <w:r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Pr="00255009">
        <w:rPr>
          <w:rFonts w:ascii="Times New Roman" w:hAnsi="Times New Roman" w:cs="Times New Roman"/>
          <w:b/>
          <w:bCs/>
          <w:sz w:val="28"/>
          <w:szCs w:val="28"/>
        </w:rPr>
        <w:t>eta-Analysis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E395D">
        <w:rPr>
          <w:rFonts w:ascii="Times New Roman" w:hAnsi="Times New Roman" w:cs="Times New Roman"/>
          <w:b/>
          <w:bCs/>
          <w:sz w:val="28"/>
          <w:szCs w:val="28"/>
        </w:rPr>
        <w:t>of clinical</w:t>
      </w:r>
      <w:r w:rsidRPr="001F36D1">
        <w:rPr>
          <w:rFonts w:ascii="Times New Roman" w:eastAsia="Calibri" w:hAnsi="Times New Roman" w:cs="Times New Roman"/>
          <w:b/>
          <w:bCs/>
          <w:sz w:val="28"/>
          <w:szCs w:val="28"/>
          <w:lang w:bidi="fa-IR"/>
        </w:rPr>
        <w:t xml:space="preserve"> trials</w:t>
      </w:r>
    </w:p>
    <w:p w:rsidR="006B6208" w:rsidRPr="002157E5" w:rsidRDefault="006B6208" w:rsidP="009063A2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</w:rPr>
      </w:pPr>
      <w:r w:rsidRPr="002157E5">
        <w:rPr>
          <w:rFonts w:ascii="Times New Roman" w:hAnsi="Times New Roman" w:cs="Times New Roman"/>
        </w:rPr>
        <w:t xml:space="preserve">Mohammad </w:t>
      </w:r>
      <w:proofErr w:type="spellStart"/>
      <w:r w:rsidRPr="002157E5">
        <w:rPr>
          <w:rFonts w:ascii="Times New Roman" w:hAnsi="Times New Roman" w:cs="Times New Roman"/>
        </w:rPr>
        <w:t>Jalali</w:t>
      </w:r>
      <w:proofErr w:type="spellEnd"/>
      <w:r w:rsidRPr="002157E5">
        <w:rPr>
          <w:rFonts w:ascii="Times New Roman" w:hAnsi="Times New Roman" w:cs="Times New Roman"/>
        </w:rPr>
        <w:t xml:space="preserve">, </w:t>
      </w:r>
      <w:r w:rsidRPr="002157E5">
        <w:rPr>
          <w:rFonts w:asciiTheme="majorBidi" w:hAnsiTheme="majorBidi" w:cstheme="majorBidi"/>
          <w:color w:val="000000"/>
          <w:shd w:val="clear" w:color="auto" w:fill="FFFFFF"/>
        </w:rPr>
        <w:t>Nutrition Research Center, School of Nutrition and Food Sciences, Shiraz University of Medical Sciences, Iran</w:t>
      </w:r>
      <w:r w:rsidRPr="002157E5">
        <w:rPr>
          <w:rFonts w:asciiTheme="majorBidi" w:hAnsiTheme="majorBidi" w:cstheme="majorBidi"/>
          <w:color w:val="1D2228"/>
          <w:shd w:val="clear" w:color="auto" w:fill="FFFFFF"/>
        </w:rPr>
        <w:t>.</w:t>
      </w:r>
    </w:p>
    <w:p w:rsidR="006B6208" w:rsidRPr="002157E5" w:rsidRDefault="006B6208" w:rsidP="009063A2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rtl/>
        </w:rPr>
      </w:pPr>
      <w:proofErr w:type="spellStart"/>
      <w:r w:rsidRPr="002157E5">
        <w:rPr>
          <w:rFonts w:ascii="Times New Roman" w:hAnsi="Times New Roman" w:cs="Times New Roman"/>
        </w:rPr>
        <w:t>Ronak</w:t>
      </w:r>
      <w:proofErr w:type="spellEnd"/>
      <w:r w:rsidRPr="002157E5">
        <w:rPr>
          <w:rFonts w:ascii="Times New Roman" w:hAnsi="Times New Roman" w:cs="Times New Roman"/>
        </w:rPr>
        <w:t xml:space="preserve"> </w:t>
      </w:r>
      <w:proofErr w:type="spellStart"/>
      <w:r w:rsidRPr="002157E5">
        <w:rPr>
          <w:rFonts w:ascii="Times New Roman" w:hAnsi="Times New Roman" w:cs="Times New Roman"/>
        </w:rPr>
        <w:t>Jalali</w:t>
      </w:r>
      <w:proofErr w:type="spellEnd"/>
      <w:r w:rsidR="009063A2" w:rsidRPr="002157E5">
        <w:rPr>
          <w:rFonts w:ascii="Times New Roman" w:hAnsi="Times New Roman" w:cs="Times New Roman"/>
        </w:rPr>
        <w:t xml:space="preserve">, </w:t>
      </w:r>
      <w:r w:rsidR="009063A2" w:rsidRPr="002157E5">
        <w:rPr>
          <w:rFonts w:asciiTheme="majorBidi" w:hAnsiTheme="majorBidi" w:cstheme="majorBidi"/>
        </w:rPr>
        <w:t>Student Research Committee, Shiraz University of Medical Sciences, Shiraz, Iran.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B95C13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60E4E" w:rsidRPr="005930A0" w:rsidRDefault="00A9710C" w:rsidP="003A608D">
      <w:pPr>
        <w:spacing w:line="276" w:lineRule="auto"/>
        <w:jc w:val="both"/>
        <w:rPr>
          <w:rFonts w:asciiTheme="majorBidi" w:hAnsiTheme="majorBidi" w:cstheme="majorBidi"/>
          <w:sz w:val="20"/>
          <w:szCs w:val="20"/>
        </w:rPr>
      </w:pPr>
      <w:r w:rsidRPr="006F129A">
        <w:rPr>
          <w:b/>
        </w:rPr>
        <w:t>Statement of the Problem:</w:t>
      </w:r>
      <w:r>
        <w:t xml:space="preserve"> </w:t>
      </w:r>
      <w:r w:rsidR="00FD4353" w:rsidRPr="005930A0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Diabetes mellitus </w:t>
      </w:r>
      <w:r w:rsidR="00FD4353" w:rsidRPr="005930A0">
        <w:rPr>
          <w:rFonts w:asciiTheme="majorBidi" w:eastAsia="Times New Roman" w:hAnsiTheme="majorBidi" w:cstheme="majorBidi"/>
          <w:sz w:val="20"/>
          <w:szCs w:val="20"/>
          <w:lang w:bidi="fa-IR"/>
        </w:rPr>
        <w:t>is a complicated and metabolic disorder characterized by an increase in blood glucose level as a result of insulin resistance, impairment in insulin release, or both.</w:t>
      </w:r>
      <w:r w:rsidR="003D25A2" w:rsidRPr="005930A0">
        <w:rPr>
          <w:rFonts w:asciiTheme="majorBidi" w:eastAsia="Times New Roman" w:hAnsiTheme="majorBidi" w:cstheme="majorBidi"/>
          <w:sz w:val="20"/>
          <w:szCs w:val="20"/>
          <w:lang w:bidi="fa-IR"/>
        </w:rPr>
        <w:t xml:space="preserve"> </w:t>
      </w:r>
      <w:r w:rsidR="003D25A2" w:rsidRPr="005930A0">
        <w:rPr>
          <w:rFonts w:asciiTheme="majorBidi" w:hAnsiTheme="majorBidi" w:cstheme="majorBidi"/>
          <w:sz w:val="20"/>
          <w:szCs w:val="20"/>
          <w:lang w:bidi="fa-IR"/>
        </w:rPr>
        <w:t xml:space="preserve">In 2013, it had reported that 382 million people had type 2 diabetes mellitus (T2DM) worldwide and this </w:t>
      </w:r>
      <w:r w:rsidR="003D25A2" w:rsidRPr="005930A0">
        <w:rPr>
          <w:rFonts w:asciiTheme="majorBidi" w:eastAsia="Times New Roman" w:hAnsiTheme="majorBidi" w:cstheme="majorBidi"/>
          <w:sz w:val="20"/>
          <w:szCs w:val="20"/>
          <w:lang w:bidi="fa-IR"/>
        </w:rPr>
        <w:t xml:space="preserve">number is expected to reach 592 million in 2035. </w:t>
      </w:r>
      <w:r w:rsidR="00267ACD" w:rsidRPr="005930A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However, in some studies </w:t>
      </w:r>
      <w:r w:rsidR="00B225BB" w:rsidRPr="005930A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cinnamon </w:t>
      </w:r>
      <w:r w:rsidR="00267ACD" w:rsidRPr="005930A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proved useful to treat </w:t>
      </w:r>
      <w:r w:rsidR="00614A94" w:rsidRPr="005930A0">
        <w:rPr>
          <w:rFonts w:asciiTheme="majorBidi" w:hAnsiTheme="majorBidi" w:cstheme="majorBidi"/>
          <w:color w:val="000000" w:themeColor="text1"/>
          <w:sz w:val="20"/>
          <w:szCs w:val="20"/>
        </w:rPr>
        <w:t>T2DM</w:t>
      </w:r>
      <w:r w:rsidR="00267ACD" w:rsidRPr="005930A0">
        <w:rPr>
          <w:rFonts w:asciiTheme="majorBidi" w:hAnsiTheme="majorBidi" w:cstheme="majorBidi"/>
          <w:color w:val="000000" w:themeColor="text1"/>
          <w:sz w:val="20"/>
          <w:szCs w:val="20"/>
        </w:rPr>
        <w:t>, some others did not find a favorable effect.</w:t>
      </w:r>
      <w:r w:rsidR="00A60E4E" w:rsidRPr="005930A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A present systematic review and meta-analysis aimed to provide more robust evidence on the use of </w:t>
      </w:r>
      <w:r w:rsidR="00821500" w:rsidRPr="005930A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cinnamon </w:t>
      </w:r>
      <w:r w:rsidR="00A60E4E" w:rsidRPr="005930A0">
        <w:rPr>
          <w:rFonts w:asciiTheme="majorBidi" w:hAnsiTheme="majorBidi" w:cstheme="majorBidi"/>
          <w:color w:val="000000" w:themeColor="text1"/>
          <w:sz w:val="20"/>
          <w:szCs w:val="20"/>
        </w:rPr>
        <w:t>for treating T2DM.</w:t>
      </w:r>
    </w:p>
    <w:p w:rsidR="00486E2E" w:rsidRPr="00AA1AF9" w:rsidRDefault="00A9710C" w:rsidP="00782F39">
      <w:pPr>
        <w:pStyle w:val="BodyText"/>
        <w:spacing w:before="9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bidi="fa-IR"/>
        </w:rPr>
      </w:pPr>
      <w:r w:rsidRPr="006F129A">
        <w:rPr>
          <w:b/>
        </w:rPr>
        <w:t>Methodolog</w:t>
      </w:r>
      <w:r w:rsidR="008756E6" w:rsidRPr="006F129A">
        <w:rPr>
          <w:b/>
        </w:rPr>
        <w:t xml:space="preserve">y &amp; Theoretical </w:t>
      </w:r>
      <w:r w:rsidR="00F53956" w:rsidRPr="006F129A">
        <w:rPr>
          <w:b/>
        </w:rPr>
        <w:t>Orientation:</w:t>
      </w:r>
      <w:r w:rsidR="00F53956">
        <w:t xml:space="preserve"> </w:t>
      </w:r>
      <w:r w:rsidR="00486E2E" w:rsidRPr="00AA1AF9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A systematic search was </w:t>
      </w:r>
      <w:r w:rsidR="00782F39">
        <w:rPr>
          <w:rFonts w:ascii="Times New Roman" w:eastAsia="Times New Roman" w:hAnsi="Times New Roman" w:cs="Times New Roman"/>
          <w:sz w:val="20"/>
          <w:szCs w:val="20"/>
          <w:lang w:bidi="fa-IR"/>
        </w:rPr>
        <w:t>undertaken</w:t>
      </w:r>
      <w:r w:rsidR="00CF1A6B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 in PubMed, </w:t>
      </w:r>
      <w:proofErr w:type="spellStart"/>
      <w:r w:rsidR="00CF1A6B">
        <w:rPr>
          <w:rFonts w:ascii="Times New Roman" w:eastAsia="Times New Roman" w:hAnsi="Times New Roman" w:cs="Times New Roman"/>
          <w:sz w:val="20"/>
          <w:szCs w:val="20"/>
          <w:lang w:bidi="fa-IR"/>
        </w:rPr>
        <w:t>Embase</w:t>
      </w:r>
      <w:proofErr w:type="spellEnd"/>
      <w:r w:rsidR="00CF1A6B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, Scopus, </w:t>
      </w:r>
      <w:r w:rsidR="00486E2E" w:rsidRPr="00AA1AF9">
        <w:rPr>
          <w:rFonts w:ascii="Times New Roman" w:eastAsia="Times New Roman" w:hAnsi="Times New Roman" w:cs="Times New Roman"/>
          <w:sz w:val="20"/>
          <w:szCs w:val="20"/>
          <w:lang w:bidi="fa-IR"/>
        </w:rPr>
        <w:t>Web of Science</w:t>
      </w:r>
      <w:r w:rsidR="00CF1A6B">
        <w:rPr>
          <w:rFonts w:ascii="Times New Roman" w:eastAsia="Times New Roman" w:hAnsi="Times New Roman" w:cs="Times New Roman"/>
          <w:sz w:val="20"/>
          <w:szCs w:val="20"/>
          <w:lang w:bidi="fa-IR"/>
        </w:rPr>
        <w:t>s and Cochrane Library</w:t>
      </w:r>
      <w:r w:rsidR="00486E2E" w:rsidRPr="00AA1AF9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 </w:t>
      </w:r>
      <w:r w:rsidR="003C34EC">
        <w:rPr>
          <w:rFonts w:ascii="Times New Roman" w:eastAsia="Times New Roman" w:hAnsi="Times New Roman" w:cs="Times New Roman"/>
          <w:sz w:val="20"/>
          <w:szCs w:val="20"/>
          <w:lang w:bidi="fa-IR"/>
        </w:rPr>
        <w:t>to identify clinical trials examining</w:t>
      </w:r>
      <w:r w:rsidR="00486E2E" w:rsidRPr="00AA1AF9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 the effect of cinnamon supplementation on type 2 diabetic patients up to 9 August 2019. In the case of heterogeneity among studies, fixed or random</w:t>
      </w:r>
      <w:r w:rsidR="00E93827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 effects</w:t>
      </w:r>
      <w:r w:rsidR="00486E2E" w:rsidRPr="00AA1AF9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 model</w:t>
      </w:r>
      <w:r w:rsidR="00A87F48">
        <w:rPr>
          <w:rFonts w:ascii="Times New Roman" w:eastAsia="Times New Roman" w:hAnsi="Times New Roman" w:cs="Times New Roman"/>
          <w:sz w:val="20"/>
          <w:szCs w:val="20"/>
          <w:lang w:bidi="fa-IR"/>
        </w:rPr>
        <w:t>s were done</w:t>
      </w:r>
      <w:r w:rsidR="00486E2E" w:rsidRPr="00AA1AF9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 </w:t>
      </w:r>
      <w:r w:rsidR="00EA5E6F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to calculate standardized mean difference </w:t>
      </w:r>
      <w:r w:rsidR="009F0FE9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(SMD) </w:t>
      </w:r>
      <w:r w:rsidR="00EA5E6F">
        <w:rPr>
          <w:rFonts w:ascii="Times New Roman" w:eastAsia="Times New Roman" w:hAnsi="Times New Roman" w:cs="Times New Roman"/>
          <w:sz w:val="20"/>
          <w:szCs w:val="20"/>
          <w:lang w:bidi="fa-IR"/>
        </w:rPr>
        <w:t>and its 95% confidence interval (CI).</w:t>
      </w:r>
      <w:r w:rsidR="00486E2E" w:rsidRPr="00AA1AF9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 </w:t>
      </w:r>
    </w:p>
    <w:p w:rsidR="00F118E8" w:rsidRDefault="00A9710C" w:rsidP="003A608D">
      <w:pPr>
        <w:pStyle w:val="BodyText"/>
        <w:spacing w:before="90" w:line="276" w:lineRule="auto"/>
        <w:ind w:left="100"/>
        <w:jc w:val="both"/>
        <w:rPr>
          <w:rFonts w:asciiTheme="majorBidi" w:hAnsiTheme="majorBidi" w:cstheme="majorBidi"/>
          <w:noProof/>
          <w:sz w:val="24"/>
          <w:szCs w:val="24"/>
        </w:rPr>
      </w:pPr>
      <w:r w:rsidRPr="006F129A">
        <w:rPr>
          <w:b/>
        </w:rPr>
        <w:t xml:space="preserve">Findings: </w:t>
      </w:r>
      <w:r w:rsidR="00F118E8" w:rsidRPr="00F118E8">
        <w:rPr>
          <w:rFonts w:ascii="Times New Roman" w:eastAsia="Times New Roman" w:hAnsi="Times New Roman" w:cs="Times New Roman"/>
          <w:sz w:val="20"/>
          <w:szCs w:val="20"/>
          <w:lang w:bidi="fa-IR"/>
        </w:rPr>
        <w:t>After exclud</w:t>
      </w:r>
      <w:r w:rsidR="00E32F0C">
        <w:rPr>
          <w:rFonts w:ascii="Times New Roman" w:eastAsia="Times New Roman" w:hAnsi="Times New Roman" w:cs="Times New Roman"/>
          <w:sz w:val="20"/>
          <w:szCs w:val="20"/>
          <w:lang w:bidi="fa-IR"/>
        </w:rPr>
        <w:t>ing nonrelated records, 14 full-</w:t>
      </w:r>
      <w:r w:rsidR="00F118E8" w:rsidRPr="00F118E8">
        <w:rPr>
          <w:rFonts w:ascii="Times New Roman" w:eastAsia="Times New Roman" w:hAnsi="Times New Roman" w:cs="Times New Roman"/>
          <w:sz w:val="20"/>
          <w:szCs w:val="20"/>
          <w:lang w:bidi="fa-IR"/>
        </w:rPr>
        <w:t>text articles included to this meta-analysis. This study found a significant reducti</w:t>
      </w:r>
      <w:r w:rsidR="002F59BC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on in Fasting blood sugar (FBS) </w:t>
      </w:r>
      <w:r w:rsidR="002F59BC">
        <w:rPr>
          <w:rFonts w:asciiTheme="majorBidi" w:hAnsiTheme="majorBidi" w:cstheme="majorBidi"/>
          <w:sz w:val="20"/>
          <w:szCs w:val="20"/>
        </w:rPr>
        <w:t>(SMD</w:t>
      </w:r>
      <w:r w:rsidR="00F118E8" w:rsidRPr="00F118E8">
        <w:rPr>
          <w:rFonts w:asciiTheme="majorBidi" w:hAnsiTheme="majorBidi" w:cstheme="majorBidi"/>
          <w:sz w:val="20"/>
          <w:szCs w:val="20"/>
        </w:rPr>
        <w:t>: -0.472 mg/dl, 95% CI: [-0.791, -0.153], P = 0.004), serum triglyceride</w:t>
      </w:r>
      <w:r w:rsidR="005201B7">
        <w:rPr>
          <w:rFonts w:asciiTheme="majorBidi" w:hAnsiTheme="majorBidi" w:cstheme="majorBidi"/>
          <w:sz w:val="20"/>
          <w:szCs w:val="20"/>
        </w:rPr>
        <w:t xml:space="preserve"> (TG) (</w:t>
      </w:r>
      <w:r w:rsidR="00F118E8" w:rsidRPr="00F118E8">
        <w:rPr>
          <w:rFonts w:asciiTheme="majorBidi" w:hAnsiTheme="majorBidi" w:cstheme="majorBidi"/>
          <w:sz w:val="20"/>
          <w:szCs w:val="20"/>
        </w:rPr>
        <w:t>SMD: -0.538 mg/dl, 95% CI: [-0.933, -0.143], P = 0.008), t</w:t>
      </w:r>
      <w:r w:rsidR="005201B7">
        <w:rPr>
          <w:rFonts w:asciiTheme="majorBidi" w:hAnsiTheme="majorBidi" w:cstheme="majorBidi"/>
          <w:sz w:val="20"/>
          <w:szCs w:val="20"/>
        </w:rPr>
        <w:t>otal serum cholesterol (</w:t>
      </w:r>
      <w:r w:rsidR="00F118E8" w:rsidRPr="00F118E8">
        <w:rPr>
          <w:rFonts w:asciiTheme="majorBidi" w:hAnsiTheme="majorBidi" w:cstheme="majorBidi"/>
          <w:sz w:val="20"/>
          <w:szCs w:val="20"/>
        </w:rPr>
        <w:t>SMD: -0.580 mg/dl, 95% CI: [-1.080, -0.080], P = 0.023) and increase in high-den</w:t>
      </w:r>
      <w:r w:rsidR="005201B7">
        <w:rPr>
          <w:rFonts w:asciiTheme="majorBidi" w:hAnsiTheme="majorBidi" w:cstheme="majorBidi"/>
          <w:sz w:val="20"/>
          <w:szCs w:val="20"/>
        </w:rPr>
        <w:t>sity lipoprotein (HDL) (</w:t>
      </w:r>
      <w:r w:rsidR="00F118E8" w:rsidRPr="00F118E8">
        <w:rPr>
          <w:rFonts w:asciiTheme="majorBidi" w:hAnsiTheme="majorBidi" w:cstheme="majorBidi"/>
          <w:sz w:val="20"/>
          <w:szCs w:val="20"/>
        </w:rPr>
        <w:t>SMD: 0.167 mg/dl</w:t>
      </w:r>
      <w:r w:rsidR="00F118E8" w:rsidRPr="00F118E8">
        <w:rPr>
          <w:rFonts w:asciiTheme="majorBidi" w:hAnsiTheme="majorBidi" w:cstheme="majorBidi"/>
          <w:noProof/>
          <w:sz w:val="20"/>
          <w:szCs w:val="20"/>
        </w:rPr>
        <w:t>, 95% CI: [0.014, 0.320], P = 0.032). In addition, dose-based subgroup analysis indicated significant reduction in HbA1c, serum insulin and low-density lipoprotein (LDL). Also, no publication bias was found.</w:t>
      </w:r>
      <w:r w:rsidR="00F118E8">
        <w:rPr>
          <w:rFonts w:asciiTheme="majorBidi" w:hAnsiTheme="majorBidi" w:cstheme="majorBidi"/>
          <w:noProof/>
          <w:sz w:val="24"/>
          <w:szCs w:val="24"/>
        </w:rPr>
        <w:t xml:space="preserve"> </w:t>
      </w:r>
    </w:p>
    <w:p w:rsidR="00AE3E37" w:rsidRPr="004A0F09" w:rsidRDefault="00A9710C" w:rsidP="00311F96">
      <w:pPr>
        <w:pStyle w:val="BodyText"/>
        <w:spacing w:before="90" w:line="276" w:lineRule="auto"/>
        <w:ind w:left="100"/>
        <w:jc w:val="both"/>
        <w:rPr>
          <w:sz w:val="14"/>
          <w:szCs w:val="14"/>
        </w:rPr>
      </w:pPr>
      <w:r w:rsidRPr="006F129A">
        <w:rPr>
          <w:b/>
        </w:rPr>
        <w:t>Conclusion &amp; Significance:</w:t>
      </w:r>
      <w:r>
        <w:t xml:space="preserve"> </w:t>
      </w:r>
      <w:r w:rsidR="006B6B43" w:rsidRPr="006B6B43">
        <w:rPr>
          <w:rFonts w:asciiTheme="majorBidi" w:hAnsiTheme="majorBidi" w:cstheme="majorBidi"/>
          <w:noProof/>
          <w:sz w:val="20"/>
          <w:szCs w:val="20"/>
        </w:rPr>
        <w:t>Cinnamon supplementation significantly improved FBS, TG, total serum cholesterol and HDL, with subgroup analysis highlighting improvements in HbA1c, serum insulin and LDL.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2F25D7" w:rsidP="002E70C6">
      <w:pPr>
        <w:pStyle w:val="BodyText"/>
        <w:spacing w:before="2"/>
        <w:jc w:val="center"/>
        <w:rPr>
          <w:noProof/>
        </w:rPr>
      </w:pPr>
      <w:r w:rsidRPr="002F25D7">
        <w:rPr>
          <w:noProof/>
        </w:rPr>
        <w:drawing>
          <wp:inline distT="0" distB="0" distL="0" distR="0">
            <wp:extent cx="1771650" cy="1809750"/>
            <wp:effectExtent l="0" t="0" r="0" b="0"/>
            <wp:docPr id="2" name="Picture 2" descr="E:\Researches\Articles\Meta\Cinnamon and diabetes\Full text\Graph\Figur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Researches\Articles\Meta\Cinnamon and diabetes\Full text\Graph\Figure 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5D7" w:rsidRDefault="002F25D7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t>Figure 1. The effect</w:t>
      </w:r>
      <w:r w:rsidR="0016527C">
        <w:rPr>
          <w:noProof/>
        </w:rPr>
        <w:t>s of cinnamon supplementation an</w:t>
      </w:r>
      <w:r>
        <w:rPr>
          <w:noProof/>
        </w:rPr>
        <w:t xml:space="preserve"> the improvement of T2DM.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3B7CA0" w:rsidRPr="002E70C6" w:rsidRDefault="003B7CA0" w:rsidP="002E70C6">
      <w:pPr>
        <w:pStyle w:val="EndNoteBibliography"/>
        <w:numPr>
          <w:ilvl w:val="0"/>
          <w:numId w:val="3"/>
        </w:numPr>
        <w:spacing w:after="0"/>
        <w:rPr>
          <w:sz w:val="20"/>
          <w:szCs w:val="20"/>
        </w:rPr>
      </w:pPr>
      <w:r w:rsidRPr="002E70C6">
        <w:rPr>
          <w:sz w:val="20"/>
          <w:szCs w:val="20"/>
        </w:rPr>
        <w:t xml:space="preserve">Talaei, B., Amouzegar, A., Sahranavard, S., Hedayati, M., Mirmiran, P., &amp; Azizi, F. (2017). Effects of Cinnamon Consumption on Glycemic Indicators, Advanced Glycation End Products, and Antioxidant Status in Type 2 Diabetic Patients. </w:t>
      </w:r>
      <w:r w:rsidRPr="002E70C6">
        <w:rPr>
          <w:i/>
          <w:sz w:val="20"/>
          <w:szCs w:val="20"/>
        </w:rPr>
        <w:t>Nutrients, 9</w:t>
      </w:r>
      <w:r w:rsidRPr="002E70C6">
        <w:rPr>
          <w:sz w:val="20"/>
          <w:szCs w:val="20"/>
        </w:rPr>
        <w:t>(9), 1-9. doi:10.3390/nu9090991</w:t>
      </w:r>
    </w:p>
    <w:p w:rsidR="003B7CA0" w:rsidRPr="002E70C6" w:rsidRDefault="003B7CA0" w:rsidP="002E70C6">
      <w:pPr>
        <w:pStyle w:val="EndNoteBibliography"/>
        <w:numPr>
          <w:ilvl w:val="0"/>
          <w:numId w:val="3"/>
        </w:numPr>
        <w:spacing w:after="0"/>
        <w:rPr>
          <w:sz w:val="20"/>
          <w:szCs w:val="20"/>
        </w:rPr>
      </w:pPr>
      <w:r w:rsidRPr="002E70C6">
        <w:rPr>
          <w:sz w:val="20"/>
          <w:szCs w:val="20"/>
        </w:rPr>
        <w:t>Tangvarasittichai, S., Sanguanwong, S., Sengsuk, C., &amp; Tangvarasittichai, O. J. I. J. T. P. R. (2015). Effect of cinnamon supplementation on oxidative stress, inflammation and insulin resistance in patients with type 2 diabetes mellitus.</w:t>
      </w:r>
      <w:r w:rsidRPr="002E70C6">
        <w:rPr>
          <w:i/>
          <w:sz w:val="20"/>
          <w:szCs w:val="20"/>
        </w:rPr>
        <w:t xml:space="preserve"> 7</w:t>
      </w:r>
      <w:r w:rsidRPr="002E70C6">
        <w:rPr>
          <w:sz w:val="20"/>
          <w:szCs w:val="20"/>
        </w:rPr>
        <w:t xml:space="preserve">(4), 56-59. </w:t>
      </w:r>
    </w:p>
    <w:p w:rsidR="003B7CA0" w:rsidRPr="002E70C6" w:rsidRDefault="003B7CA0" w:rsidP="002E70C6">
      <w:pPr>
        <w:pStyle w:val="EndNoteBibliography"/>
        <w:numPr>
          <w:ilvl w:val="0"/>
          <w:numId w:val="3"/>
        </w:numPr>
        <w:spacing w:after="0"/>
        <w:rPr>
          <w:sz w:val="20"/>
          <w:szCs w:val="20"/>
        </w:rPr>
      </w:pPr>
      <w:r w:rsidRPr="002E70C6">
        <w:rPr>
          <w:sz w:val="20"/>
          <w:szCs w:val="20"/>
        </w:rPr>
        <w:t xml:space="preserve">Vafa, M., Mohammadi, F., Shidfar, F., Sormaghi, M. S., Heidari, I., Golestan, B., &amp; Amiri, F. (2012). Effects of cinnamon consumption on glycemic status, lipid profile and body composition in type 2 diabetic patients. </w:t>
      </w:r>
      <w:r w:rsidRPr="002E70C6">
        <w:rPr>
          <w:i/>
          <w:sz w:val="20"/>
          <w:szCs w:val="20"/>
        </w:rPr>
        <w:t>International Journal of Preventive Medicine, 3</w:t>
      </w:r>
      <w:r w:rsidRPr="002E70C6">
        <w:rPr>
          <w:sz w:val="20"/>
          <w:szCs w:val="20"/>
        </w:rPr>
        <w:t xml:space="preserve">(8), 531-536. </w:t>
      </w:r>
    </w:p>
    <w:p w:rsidR="00AE18EC" w:rsidRPr="002E70C6" w:rsidRDefault="00AE18EC" w:rsidP="002E70C6">
      <w:pPr>
        <w:pStyle w:val="EndNoteBibliography"/>
        <w:numPr>
          <w:ilvl w:val="0"/>
          <w:numId w:val="3"/>
        </w:numPr>
        <w:spacing w:after="0"/>
        <w:rPr>
          <w:sz w:val="20"/>
          <w:szCs w:val="20"/>
        </w:rPr>
      </w:pPr>
      <w:r w:rsidRPr="002E70C6">
        <w:rPr>
          <w:sz w:val="20"/>
          <w:szCs w:val="20"/>
          <w:lang w:val="de-DE"/>
        </w:rPr>
        <w:t xml:space="preserve">Wainstein, J., Stern, N., Heller, S., &amp; Boaz, M. (2011). </w:t>
      </w:r>
      <w:r w:rsidRPr="002E70C6">
        <w:rPr>
          <w:sz w:val="20"/>
          <w:szCs w:val="20"/>
        </w:rPr>
        <w:t xml:space="preserve">Dietary cinnamon supplementation and changes in systolic blood pressure in subjects with type 2 diabetes. </w:t>
      </w:r>
      <w:r w:rsidRPr="002E70C6">
        <w:rPr>
          <w:i/>
          <w:sz w:val="20"/>
          <w:szCs w:val="20"/>
        </w:rPr>
        <w:t>Journal of Medicinal Food, 14</w:t>
      </w:r>
      <w:r w:rsidRPr="002E70C6">
        <w:rPr>
          <w:sz w:val="20"/>
          <w:szCs w:val="20"/>
        </w:rPr>
        <w:t>(12), 1505-1510. doi:10.1089/jmf.2010.0300</w:t>
      </w:r>
    </w:p>
    <w:p w:rsidR="00AE18EC" w:rsidRPr="002E70C6" w:rsidRDefault="00AE18EC" w:rsidP="002E70C6">
      <w:pPr>
        <w:pStyle w:val="EndNoteBibliography"/>
        <w:numPr>
          <w:ilvl w:val="0"/>
          <w:numId w:val="3"/>
        </w:numPr>
        <w:rPr>
          <w:sz w:val="20"/>
          <w:szCs w:val="20"/>
        </w:rPr>
      </w:pPr>
      <w:r w:rsidRPr="002E70C6">
        <w:rPr>
          <w:sz w:val="20"/>
          <w:szCs w:val="20"/>
        </w:rPr>
        <w:t xml:space="preserve">Zare, R., Nadjarzadeh, A., Zarshenas, M. M., Shams, M., &amp; Heydari, M. (2019). Efficacy of cinnamon in patients with type II diabetes mellitus: A randomized controlled clinical trial. </w:t>
      </w:r>
      <w:r w:rsidRPr="002E70C6">
        <w:rPr>
          <w:i/>
          <w:sz w:val="20"/>
          <w:szCs w:val="20"/>
        </w:rPr>
        <w:t>Clin Nutr, 38</w:t>
      </w:r>
      <w:r w:rsidRPr="002E70C6">
        <w:rPr>
          <w:sz w:val="20"/>
          <w:szCs w:val="20"/>
        </w:rPr>
        <w:t>(2), 549-556. doi:10.1016/j.clnu.2018.03.003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3B3BB1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7620" t="0" r="7620" b="317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588F90F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DC+tyceQIAAHsFAAAOAAAA&#10;AAAAAAAAAAAAAC4CAABkcnMvZTJvRG9jLnhtbFBLAQItABQABgAIAAAAIQDSSW852wAAAAMBAAAP&#10;AAAAAAAAAAAAAAAAANMEAABkcnMvZG93bnJldi54bWxQSwUGAAAAAAQABADzAAAA2w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4A0F09" w:rsidRDefault="006F1513" w:rsidP="002959EA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noProof/>
          <w:color w:val="BF5A14"/>
        </w:rPr>
        <w:lastRenderedPageBreak/>
        <w:drawing>
          <wp:inline distT="0" distB="0" distL="0" distR="0">
            <wp:extent cx="715645" cy="86446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 Doc 2018-11-13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617" cy="87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5E4746" w:rsidRPr="002F2E4C" w:rsidRDefault="005E4746" w:rsidP="00E31227">
      <w:pPr>
        <w:spacing w:before="92"/>
        <w:ind w:right="4234"/>
        <w:jc w:val="both"/>
        <w:rPr>
          <w:rFonts w:asciiTheme="majorBidi" w:hAnsiTheme="majorBidi" w:cstheme="majorBidi"/>
        </w:rPr>
      </w:pPr>
      <w:proofErr w:type="spellStart"/>
      <w:r w:rsidRPr="002F2E4C">
        <w:rPr>
          <w:rFonts w:asciiTheme="majorBidi" w:hAnsiTheme="majorBidi" w:cstheme="majorBidi"/>
        </w:rPr>
        <w:t>Jalali</w:t>
      </w:r>
      <w:proofErr w:type="spellEnd"/>
      <w:r w:rsidRPr="002F2E4C">
        <w:rPr>
          <w:rFonts w:asciiTheme="majorBidi" w:hAnsiTheme="majorBidi" w:cstheme="majorBidi"/>
        </w:rPr>
        <w:t xml:space="preserve"> is </w:t>
      </w:r>
      <w:r w:rsidR="00900028" w:rsidRPr="002F2E4C">
        <w:rPr>
          <w:rFonts w:asciiTheme="majorBidi" w:hAnsiTheme="majorBidi" w:cstheme="majorBidi"/>
        </w:rPr>
        <w:t>an</w:t>
      </w:r>
      <w:r w:rsidRPr="002F2E4C">
        <w:rPr>
          <w:rFonts w:asciiTheme="majorBidi" w:hAnsiTheme="majorBidi" w:cstheme="majorBidi"/>
        </w:rPr>
        <w:t xml:space="preserve"> Iranian nutritionist, which receive honorary docto</w:t>
      </w:r>
      <w:r w:rsidR="00FB47DB" w:rsidRPr="002F2E4C">
        <w:rPr>
          <w:rFonts w:asciiTheme="majorBidi" w:hAnsiTheme="majorBidi" w:cstheme="majorBidi"/>
        </w:rPr>
        <w:t xml:space="preserve">rate as health education </w:t>
      </w:r>
      <w:r w:rsidR="00E31227">
        <w:rPr>
          <w:rFonts w:asciiTheme="majorBidi" w:hAnsiTheme="majorBidi" w:cstheme="majorBidi"/>
        </w:rPr>
        <w:t>at the age of</w:t>
      </w:r>
      <w:bookmarkStart w:id="0" w:name="_GoBack"/>
      <w:bookmarkEnd w:id="0"/>
      <w:r w:rsidR="00E31227" w:rsidRPr="00E31227">
        <w:rPr>
          <w:rFonts w:asciiTheme="majorBidi" w:hAnsiTheme="majorBidi" w:cstheme="majorBidi"/>
        </w:rPr>
        <w:t xml:space="preserve"> 20 years old </w:t>
      </w:r>
      <w:r w:rsidR="00FB47DB" w:rsidRPr="002F2E4C">
        <w:rPr>
          <w:rFonts w:asciiTheme="majorBidi" w:hAnsiTheme="majorBidi" w:cstheme="majorBidi"/>
        </w:rPr>
        <w:t xml:space="preserve">and </w:t>
      </w:r>
      <w:r w:rsidR="00CB5C84" w:rsidRPr="002F2E4C">
        <w:rPr>
          <w:rFonts w:asciiTheme="majorBidi" w:hAnsiTheme="majorBidi" w:cstheme="majorBidi"/>
        </w:rPr>
        <w:t xml:space="preserve">also </w:t>
      </w:r>
      <w:r w:rsidR="00FB47DB" w:rsidRPr="002F2E4C">
        <w:rPr>
          <w:rFonts w:asciiTheme="majorBidi" w:hAnsiTheme="majorBidi" w:cstheme="majorBidi"/>
        </w:rPr>
        <w:t xml:space="preserve">has a traditional medicine </w:t>
      </w:r>
      <w:r w:rsidR="003E4ED1" w:rsidRPr="002F2E4C">
        <w:rPr>
          <w:rFonts w:asciiTheme="majorBidi" w:hAnsiTheme="majorBidi" w:cstheme="majorBidi"/>
        </w:rPr>
        <w:t>certificate</w:t>
      </w:r>
      <w:r w:rsidR="003E4ED1" w:rsidRPr="002F2E4C">
        <w:rPr>
          <w:rFonts w:asciiTheme="majorBidi" w:hAnsiTheme="majorBidi" w:cstheme="majorBidi"/>
        </w:rPr>
        <w:t xml:space="preserve"> </w:t>
      </w:r>
      <w:r w:rsidR="00FB47DB" w:rsidRPr="002F2E4C">
        <w:rPr>
          <w:rFonts w:asciiTheme="majorBidi" w:hAnsiTheme="majorBidi" w:cstheme="majorBidi"/>
        </w:rPr>
        <w:t xml:space="preserve">from Shiraz University of Medical Sciences </w:t>
      </w:r>
      <w:r w:rsidR="00900028" w:rsidRPr="002F2E4C">
        <w:rPr>
          <w:rFonts w:asciiTheme="majorBidi" w:hAnsiTheme="majorBidi" w:cstheme="majorBidi"/>
        </w:rPr>
        <w:t>with score 100</w:t>
      </w:r>
      <w:r w:rsidR="00113408" w:rsidRPr="002F2E4C">
        <w:rPr>
          <w:rFonts w:asciiTheme="majorBidi" w:hAnsiTheme="majorBidi" w:cstheme="majorBidi"/>
        </w:rPr>
        <w:t>.</w:t>
      </w:r>
      <w:r w:rsidR="003449F2" w:rsidRPr="002F2E4C">
        <w:rPr>
          <w:rFonts w:asciiTheme="majorBidi" w:hAnsiTheme="majorBidi" w:cstheme="majorBidi"/>
        </w:rPr>
        <w:t xml:space="preserve"> He is a member of Nutrition Research Center of Shiraz, Iran.</w:t>
      </w:r>
      <w:r w:rsidR="009932F4">
        <w:rPr>
          <w:rFonts w:asciiTheme="majorBidi" w:hAnsiTheme="majorBidi" w:cstheme="majorBidi"/>
        </w:rPr>
        <w:t xml:space="preserve"> He is specifically working on functional foods and </w:t>
      </w:r>
      <w:proofErr w:type="spellStart"/>
      <w:r w:rsidR="009932F4">
        <w:rPr>
          <w:rFonts w:asciiTheme="majorBidi" w:hAnsiTheme="majorBidi" w:cstheme="majorBidi"/>
        </w:rPr>
        <w:t>nutraceuticals</w:t>
      </w:r>
      <w:proofErr w:type="spellEnd"/>
      <w:r w:rsidR="009932F4">
        <w:rPr>
          <w:rFonts w:asciiTheme="majorBidi" w:hAnsiTheme="majorBidi" w:cstheme="majorBidi"/>
        </w:rPr>
        <w:t xml:space="preserve"> </w:t>
      </w:r>
      <w:r w:rsidR="00D47EF3">
        <w:rPr>
          <w:rFonts w:asciiTheme="majorBidi" w:hAnsiTheme="majorBidi" w:cstheme="majorBidi"/>
        </w:rPr>
        <w:t>that can improve various me</w:t>
      </w:r>
      <w:r w:rsidR="003E4ED1">
        <w:rPr>
          <w:rFonts w:asciiTheme="majorBidi" w:hAnsiTheme="majorBidi" w:cstheme="majorBidi"/>
        </w:rPr>
        <w:t xml:space="preserve">tabolic disorders, and has obtained significant outcomes regarding important biomarkers.  He also eminence in the field of </w:t>
      </w:r>
      <w:r w:rsidR="003E4ED1" w:rsidRPr="003E4ED1">
        <w:rPr>
          <w:rFonts w:asciiTheme="majorBidi" w:hAnsiTheme="majorBidi" w:cstheme="majorBidi"/>
        </w:rPr>
        <w:t>meta-analysis studies</w:t>
      </w:r>
      <w:r w:rsidR="003E4ED1">
        <w:rPr>
          <w:rFonts w:asciiTheme="majorBidi" w:hAnsiTheme="majorBidi" w:cstheme="majorBidi"/>
        </w:rPr>
        <w:t xml:space="preserve">. </w:t>
      </w:r>
    </w:p>
    <w:p w:rsidR="002959EA" w:rsidRPr="002959EA" w:rsidRDefault="002959EA" w:rsidP="002959EA">
      <w:pPr>
        <w:spacing w:before="92"/>
        <w:ind w:right="4234"/>
        <w:rPr>
          <w:rFonts w:ascii="Arial"/>
          <w:color w:val="BF5A14"/>
        </w:rPr>
      </w:pPr>
    </w:p>
    <w:p w:rsidR="00AE3E37" w:rsidRDefault="00A9710C" w:rsidP="004A0F09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A36119" w:rsidRPr="00CD6377">
          <w:rPr>
            <w:rStyle w:val="Hyperlink"/>
            <w:rFonts w:ascii="Arial"/>
            <w:sz w:val="14"/>
          </w:rPr>
          <w:t>Mj.artak@Gmail.com</w:t>
        </w:r>
      </w:hyperlink>
    </w:p>
    <w:p w:rsidR="00AE3E37" w:rsidRPr="00DC0579" w:rsidRDefault="003B3BB1" w:rsidP="00DC0579">
      <w:pPr>
        <w:pStyle w:val="BodyText"/>
        <w:spacing w:before="2"/>
        <w:rPr>
          <w:rFonts w:ascii="Arial"/>
          <w:sz w:val="19"/>
        </w:rPr>
        <w:sectPr w:rsidR="00AE3E37" w:rsidRPr="00DC057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5715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6D0513F0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D6C" w:rsidRDefault="00A63D6C">
      <w:r>
        <w:separator/>
      </w:r>
    </w:p>
  </w:endnote>
  <w:endnote w:type="continuationSeparator" w:id="0">
    <w:p w:rsidR="00A63D6C" w:rsidRDefault="00A63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3B3BB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D6C" w:rsidRDefault="00A63D6C">
      <w:r>
        <w:separator/>
      </w:r>
    </w:p>
  </w:footnote>
  <w:footnote w:type="continuationSeparator" w:id="0">
    <w:p w:rsidR="00A63D6C" w:rsidRDefault="00A63D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3B3BB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QwNjUxNDMwMDIAAiUdpeDU4uLM/DyQAsNaAD1zKjEsAAAA"/>
  </w:docVars>
  <w:rsids>
    <w:rsidRoot w:val="00AE3E37"/>
    <w:rsid w:val="00080ED0"/>
    <w:rsid w:val="000E2911"/>
    <w:rsid w:val="00113408"/>
    <w:rsid w:val="001263DF"/>
    <w:rsid w:val="0016527C"/>
    <w:rsid w:val="001E51C6"/>
    <w:rsid w:val="002157E5"/>
    <w:rsid w:val="00267ACD"/>
    <w:rsid w:val="0028703F"/>
    <w:rsid w:val="00292ED9"/>
    <w:rsid w:val="002959EA"/>
    <w:rsid w:val="002E70C6"/>
    <w:rsid w:val="002F25D7"/>
    <w:rsid w:val="002F2E4C"/>
    <w:rsid w:val="002F59BC"/>
    <w:rsid w:val="00311F96"/>
    <w:rsid w:val="00317B4B"/>
    <w:rsid w:val="003449F2"/>
    <w:rsid w:val="00350D94"/>
    <w:rsid w:val="00362333"/>
    <w:rsid w:val="003A608D"/>
    <w:rsid w:val="003B3BB1"/>
    <w:rsid w:val="003B7CA0"/>
    <w:rsid w:val="003C34EC"/>
    <w:rsid w:val="003D25A2"/>
    <w:rsid w:val="003E4ED1"/>
    <w:rsid w:val="00404E5B"/>
    <w:rsid w:val="00414F7B"/>
    <w:rsid w:val="0042758D"/>
    <w:rsid w:val="004355DC"/>
    <w:rsid w:val="004749B4"/>
    <w:rsid w:val="00486E2E"/>
    <w:rsid w:val="00494130"/>
    <w:rsid w:val="004A0F09"/>
    <w:rsid w:val="004F3523"/>
    <w:rsid w:val="005201B7"/>
    <w:rsid w:val="005930A0"/>
    <w:rsid w:val="005973B9"/>
    <w:rsid w:val="005B3A56"/>
    <w:rsid w:val="005B73FA"/>
    <w:rsid w:val="005E4746"/>
    <w:rsid w:val="006060CE"/>
    <w:rsid w:val="00614A94"/>
    <w:rsid w:val="0063497F"/>
    <w:rsid w:val="006B6208"/>
    <w:rsid w:val="006B6B43"/>
    <w:rsid w:val="006F129A"/>
    <w:rsid w:val="006F1513"/>
    <w:rsid w:val="00782F39"/>
    <w:rsid w:val="007863B4"/>
    <w:rsid w:val="007A7368"/>
    <w:rsid w:val="007E2F3A"/>
    <w:rsid w:val="007F539F"/>
    <w:rsid w:val="00821500"/>
    <w:rsid w:val="00873DF0"/>
    <w:rsid w:val="008756E6"/>
    <w:rsid w:val="00900028"/>
    <w:rsid w:val="009063A2"/>
    <w:rsid w:val="00972752"/>
    <w:rsid w:val="0098249D"/>
    <w:rsid w:val="00990E75"/>
    <w:rsid w:val="009932F4"/>
    <w:rsid w:val="009B2D44"/>
    <w:rsid w:val="009F0FE9"/>
    <w:rsid w:val="00A07E82"/>
    <w:rsid w:val="00A36119"/>
    <w:rsid w:val="00A60E4E"/>
    <w:rsid w:val="00A63D6C"/>
    <w:rsid w:val="00A86EC9"/>
    <w:rsid w:val="00A87F48"/>
    <w:rsid w:val="00A9710C"/>
    <w:rsid w:val="00AA1AF9"/>
    <w:rsid w:val="00AE18EC"/>
    <w:rsid w:val="00AE3E37"/>
    <w:rsid w:val="00AE7921"/>
    <w:rsid w:val="00B21A57"/>
    <w:rsid w:val="00B225BB"/>
    <w:rsid w:val="00B24370"/>
    <w:rsid w:val="00B73F8B"/>
    <w:rsid w:val="00B77B00"/>
    <w:rsid w:val="00B95C13"/>
    <w:rsid w:val="00B96C28"/>
    <w:rsid w:val="00C33602"/>
    <w:rsid w:val="00CB5C84"/>
    <w:rsid w:val="00CD6F55"/>
    <w:rsid w:val="00CF1A6B"/>
    <w:rsid w:val="00D435F6"/>
    <w:rsid w:val="00D47EF3"/>
    <w:rsid w:val="00DC0579"/>
    <w:rsid w:val="00DE3104"/>
    <w:rsid w:val="00E31227"/>
    <w:rsid w:val="00E32F0C"/>
    <w:rsid w:val="00E872EF"/>
    <w:rsid w:val="00E93827"/>
    <w:rsid w:val="00EA5E6F"/>
    <w:rsid w:val="00EB346F"/>
    <w:rsid w:val="00EC7B82"/>
    <w:rsid w:val="00F118E8"/>
    <w:rsid w:val="00F53956"/>
    <w:rsid w:val="00F72EEA"/>
    <w:rsid w:val="00F84CAE"/>
    <w:rsid w:val="00FB47DB"/>
    <w:rsid w:val="00FD4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AC749B4-879A-4FCD-8816-F1D36597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B73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3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3FA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3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3FA"/>
    <w:rPr>
      <w:rFonts w:ascii="Tw Cen MT" w:eastAsia="Tw Cen MT" w:hAnsi="Tw Cen MT" w:cs="Tw Cen MT"/>
      <w:b/>
      <w:bCs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AE18EC"/>
    <w:pPr>
      <w:widowControl/>
      <w:spacing w:after="160"/>
    </w:pPr>
    <w:rPr>
      <w:rFonts w:ascii="Calibri" w:eastAsiaTheme="minorHAns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E18EC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j.artak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moosavian</cp:lastModifiedBy>
  <cp:revision>21</cp:revision>
  <dcterms:created xsi:type="dcterms:W3CDTF">2019-12-05T20:25:00Z</dcterms:created>
  <dcterms:modified xsi:type="dcterms:W3CDTF">2019-12-06T09:48:00Z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