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957" w:rsidRPr="00DD6A45" w:rsidRDefault="003B621A" w:rsidP="00D71957">
      <w:pPr>
        <w:pStyle w:val="1"/>
        <w:spacing w:before="170"/>
        <w:ind w:left="-142"/>
        <w:rPr>
          <w:rFonts w:ascii="Arial" w:eastAsia="Tw Cen MT" w:hAnsi="Tw Cen MT" w:cs="Tw Cen MT"/>
          <w:bCs w:val="0"/>
          <w:color w:val="365F91" w:themeColor="accent1" w:themeShade="BF"/>
          <w:sz w:val="32"/>
          <w:szCs w:val="32"/>
        </w:rPr>
      </w:pPr>
      <w:r w:rsidRPr="003B621A">
        <w:rPr>
          <w:rFonts w:ascii="Arial" w:eastAsia="Tw Cen MT" w:hAnsi="Tw Cen MT" w:cs="Tw Cen MT"/>
          <w:bCs w:val="0"/>
          <w:color w:val="365F91" w:themeColor="accent1" w:themeShade="BF"/>
          <w:sz w:val="32"/>
          <w:szCs w:val="32"/>
        </w:rPr>
        <w:t xml:space="preserve">Title: </w:t>
      </w:r>
      <w:r w:rsidR="00D71957" w:rsidRPr="00D71957">
        <w:rPr>
          <w:rFonts w:ascii="Arial" w:eastAsia="Tw Cen MT" w:hAnsi="Tw Cen MT" w:cs="Tw Cen MT"/>
          <w:bCs w:val="0"/>
          <w:color w:val="365F91" w:themeColor="accent1" w:themeShade="BF"/>
          <w:sz w:val="32"/>
          <w:szCs w:val="32"/>
        </w:rPr>
        <w:t>Tangshen Formula Alleviates Hepatic Steatosis by Inducing Autophagy Through the AMPK/SIRT1 Pathway</w:t>
      </w:r>
      <w:r w:rsidR="00DD6A45">
        <w:rPr>
          <w:rFonts w:ascii="Arial" w:eastAsia="Tw Cen MT" w:hAnsi="Tw Cen MT" w:cs="Tw Cen MT"/>
          <w:bCs w:val="0"/>
          <w:color w:val="365F91" w:themeColor="accent1" w:themeShade="BF"/>
          <w:sz w:val="32"/>
          <w:szCs w:val="32"/>
        </w:rPr>
        <w:br/>
      </w:r>
      <w:r w:rsidR="00D71957">
        <w:rPr>
          <w:rFonts w:ascii="Arial"/>
          <w:sz w:val="22"/>
          <w:szCs w:val="22"/>
        </w:rPr>
        <w:t>Ping Li</w:t>
      </w:r>
      <w:r w:rsidR="00D71957" w:rsidRPr="00DD6A45">
        <w:rPr>
          <w:rFonts w:ascii="Arial"/>
          <w:sz w:val="22"/>
          <w:szCs w:val="22"/>
        </w:rPr>
        <w:t xml:space="preserve">, </w:t>
      </w:r>
      <w:r w:rsidR="00D71957" w:rsidRPr="007A3890">
        <w:rPr>
          <w:rFonts w:ascii="Arial"/>
          <w:sz w:val="22"/>
          <w:szCs w:val="22"/>
        </w:rPr>
        <w:t>M.D., Ph.D.</w:t>
      </w:r>
      <w:r w:rsidR="00D71957" w:rsidRPr="00DD6A45">
        <w:rPr>
          <w:rFonts w:ascii="Arial"/>
          <w:sz w:val="22"/>
          <w:szCs w:val="22"/>
        </w:rPr>
        <w:t xml:space="preserve">, </w:t>
      </w:r>
      <w:r w:rsidR="00D71957" w:rsidRPr="00596B3A">
        <w:rPr>
          <w:rFonts w:ascii="Arial"/>
          <w:sz w:val="22"/>
          <w:szCs w:val="22"/>
        </w:rPr>
        <w:t>Professor</w:t>
      </w:r>
      <w:r w:rsidR="00D71957">
        <w:rPr>
          <w:rFonts w:ascii="Arial"/>
          <w:sz w:val="22"/>
          <w:szCs w:val="22"/>
        </w:rPr>
        <w:t xml:space="preserve">, </w:t>
      </w:r>
      <w:r w:rsidR="00D71957" w:rsidRPr="007A3890">
        <w:rPr>
          <w:rFonts w:ascii="Arial"/>
          <w:sz w:val="22"/>
          <w:szCs w:val="22"/>
        </w:rPr>
        <w:t>China-Japan Friendship Hospital, China</w:t>
      </w:r>
    </w:p>
    <w:p w:rsidR="00032554" w:rsidRPr="003B621A" w:rsidRDefault="00705081" w:rsidP="00DD1A36">
      <w:pPr>
        <w:pStyle w:val="3"/>
        <w:spacing w:before="147"/>
        <w:jc w:val="both"/>
        <w:rPr>
          <w:sz w:val="24"/>
          <w:szCs w:val="24"/>
        </w:rPr>
      </w:pPr>
      <w:r>
        <w:rPr>
          <w:color w:val="BF5A14"/>
          <w:sz w:val="24"/>
          <w:szCs w:val="24"/>
        </w:rPr>
        <w:br/>
      </w:r>
      <w:r w:rsidR="00032554" w:rsidRPr="003B621A">
        <w:rPr>
          <w:color w:val="BF5A14"/>
          <w:sz w:val="24"/>
          <w:szCs w:val="24"/>
        </w:rPr>
        <w:t>Abstract (300 word limit)</w:t>
      </w:r>
    </w:p>
    <w:p w:rsidR="00032554" w:rsidRPr="004016E1" w:rsidRDefault="00D71957" w:rsidP="00DD1A36">
      <w:pPr>
        <w:pStyle w:val="a3"/>
        <w:spacing w:before="90" w:line="280" w:lineRule="auto"/>
        <w:ind w:left="100"/>
        <w:jc w:val="both"/>
        <w:rPr>
          <w:rFonts w:ascii="Arial" w:eastAsia="Minion Pro" w:hAnsi="Minion Pro" w:cs="Minion Pro"/>
          <w:bCs/>
          <w:sz w:val="20"/>
          <w:szCs w:val="20"/>
        </w:rPr>
      </w:pPr>
      <w:r w:rsidRPr="00D71957">
        <w:rPr>
          <w:rFonts w:ascii="Arial" w:eastAsia="Minion Pro" w:hAnsi="Minion Pro" w:cs="Minion Pro"/>
          <w:bCs/>
          <w:sz w:val="20"/>
          <w:szCs w:val="20"/>
        </w:rPr>
        <w:t>Tangshen formula (TSF), a formula of Chinese herbal medicine, improves lipid metabolism in humans and animals with diabetic kidney disease. However, the effect and mechanism of TSF on nonalcoholic fatty liver disease (NAFLD) remain unclear. The activation of autophagy appears to be a potential mechanism for improving NAFLD. In the present study, we</w:t>
      </w:r>
      <w:bookmarkStart w:id="0" w:name="_GoBack"/>
      <w:bookmarkEnd w:id="0"/>
      <w:r w:rsidRPr="00D71957">
        <w:rPr>
          <w:rFonts w:ascii="Arial" w:eastAsia="Minion Pro" w:hAnsi="Minion Pro" w:cs="Minion Pro"/>
          <w:bCs/>
          <w:sz w:val="20"/>
          <w:szCs w:val="20"/>
        </w:rPr>
        <w:t xml:space="preserve"> examined the therapeutic effect of TSF on hepatic steatosis and sought to explore whether its effect is related to activating autophagy. Here, we showed that TSF treatment signifificantly attenuated hepatic steatosis in both high-fat diet (HFD) and methionine choline-defificient diet (MCDD)-fed mice. Meanwhile, TSF reduced lipid accumulation in palmitate (PA)-stimulated HepG2 cells and primary mouse hepatocytes. Furthermore, TSF increased Sirtuin 1 (SIRT1) expression and promoted autophagy activation in vivo. TSF also improved PA-induced suppression of both SIRT1 expression and SIRT1-dependent autophagy, thereby alleviating intracellular lipid accumulation in vitro. In addition, TSF increased SIRT1 expression and induced autophagy in an adenosine monophosphate-activated protein kinase (AMPK)-dependent manner. Moreover, SIRT1 knockdown abolished the autophagy-inducing and lipid-lowering effects of TSF. In conclusion, TSF improved lipid accumulation and hepatic steatosis by inducing the AMPK/SIRT1 pathway-mediated autophagy</w:t>
      </w:r>
      <w:r w:rsidRPr="004016E1">
        <w:rPr>
          <w:rFonts w:ascii="Arial" w:eastAsia="Minion Pro" w:hAnsi="Minion Pro" w:cs="Minion Pro" w:hint="eastAsia"/>
          <w:bCs/>
          <w:sz w:val="20"/>
          <w:szCs w:val="20"/>
        </w:rPr>
        <w:t>.</w:t>
      </w:r>
    </w:p>
    <w:p w:rsidR="00032554" w:rsidRDefault="00032554" w:rsidP="00DD1A36">
      <w:pPr>
        <w:pStyle w:val="3"/>
        <w:spacing w:before="74"/>
        <w:jc w:val="both"/>
        <w:rPr>
          <w:rFonts w:ascii="Calibri" w:hAnsi="Calibri"/>
        </w:rPr>
      </w:pPr>
      <w:r>
        <w:rPr>
          <w:b w:val="0"/>
        </w:rPr>
        <w:br w:type="column"/>
      </w:r>
    </w:p>
    <w:p w:rsidR="00032554" w:rsidRPr="008756E6" w:rsidRDefault="00032554" w:rsidP="00DD1A36">
      <w:pPr>
        <w:tabs>
          <w:tab w:val="left" w:pos="384"/>
        </w:tabs>
        <w:ind w:right="117"/>
        <w:jc w:val="both"/>
      </w:pPr>
    </w:p>
    <w:p w:rsidR="00032554" w:rsidRDefault="00032554" w:rsidP="00DD1A36">
      <w:pPr>
        <w:spacing w:line="200" w:lineRule="exact"/>
        <w:jc w:val="both"/>
        <w:rPr>
          <w:rFonts w:ascii="Calibri" w:hAnsi="Calibri"/>
        </w:rPr>
        <w:sectPr w:rsidR="00032554" w:rsidSect="00DD1A36">
          <w:headerReference w:type="default" r:id="rId7"/>
          <w:footerReference w:type="default" r:id="rId8"/>
          <w:type w:val="continuous"/>
          <w:pgSz w:w="11910" w:h="16840"/>
          <w:pgMar w:top="1741" w:right="601" w:bottom="839" w:left="618" w:header="720" w:footer="720" w:gutter="0"/>
          <w:cols w:num="2" w:space="720" w:equalWidth="0">
            <w:col w:w="9869" w:space="2"/>
            <w:col w:w="820"/>
          </w:cols>
        </w:sectPr>
      </w:pPr>
      <w:r>
        <w:rPr>
          <w:rFonts w:ascii="Calibri" w:hAnsi="Calibri"/>
        </w:rPr>
        <w:t xml:space="preserve">   </w:t>
      </w:r>
    </w:p>
    <w:p w:rsidR="00032554" w:rsidRDefault="00032554" w:rsidP="00DD1A36">
      <w:pPr>
        <w:pStyle w:val="a3"/>
        <w:jc w:val="both"/>
        <w:rPr>
          <w:rFonts w:ascii="Calibri"/>
          <w:sz w:val="20"/>
        </w:rPr>
      </w:pPr>
    </w:p>
    <w:p w:rsidR="00DD1A36" w:rsidRPr="003B621A" w:rsidRDefault="00032554" w:rsidP="003B621A">
      <w:pPr>
        <w:pStyle w:val="a3"/>
        <w:spacing w:line="40" w:lineRule="exact"/>
        <w:ind w:left="2202"/>
        <w:jc w:val="both"/>
        <w:rPr>
          <w:rFonts w:ascii="Calibri"/>
          <w:sz w:val="4"/>
        </w:rPr>
      </w:pPr>
      <w:r>
        <w:rPr>
          <w:rFonts w:ascii="Calibri"/>
          <w:noProof/>
          <w:sz w:val="4"/>
          <w:lang w:eastAsia="zh-CN"/>
        </w:rPr>
        <mc:AlternateContent>
          <mc:Choice Requires="wpg">
            <w:drawing>
              <wp:inline distT="0" distB="0" distL="0" distR="0" wp14:anchorId="5D1DC108" wp14:editId="598336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7B9D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r>
        <w:rPr>
          <w:noProof/>
        </w:rPr>
        <w:t xml:space="preserve">           </w:t>
      </w:r>
    </w:p>
    <w:p w:rsidR="00DD1A36" w:rsidRDefault="00705081" w:rsidP="00DD1A36">
      <w:pPr>
        <w:spacing w:before="92"/>
        <w:ind w:right="4234"/>
        <w:jc w:val="both"/>
        <w:rPr>
          <w:noProof/>
        </w:rPr>
      </w:pPr>
      <w:r>
        <w:rPr>
          <w:noProof/>
        </w:rPr>
        <w:br/>
      </w:r>
      <w:r>
        <w:rPr>
          <w:noProof/>
        </w:rPr>
        <w:br/>
      </w:r>
    </w:p>
    <w:p w:rsidR="00032554" w:rsidRDefault="00032554" w:rsidP="00705081">
      <w:pPr>
        <w:spacing w:before="92"/>
        <w:ind w:right="798"/>
        <w:rPr>
          <w:rFonts w:ascii="Arial"/>
          <w:color w:val="BF5A14"/>
        </w:rPr>
      </w:pPr>
      <w:r>
        <w:rPr>
          <w:noProof/>
        </w:rPr>
        <w:t xml:space="preserve">  </w:t>
      </w:r>
      <w:r w:rsidR="00D71957" w:rsidRPr="00BA1296">
        <w:rPr>
          <w:noProof/>
          <w:lang w:eastAsia="zh-CN"/>
        </w:rPr>
        <w:drawing>
          <wp:inline distT="0" distB="0" distL="0" distR="0" wp14:anchorId="5F1CB4C6" wp14:editId="6B4FE92B">
            <wp:extent cx="626400" cy="622800"/>
            <wp:effectExtent l="0" t="0" r="2540" b="6350"/>
            <wp:docPr id="1" name="图片 1" descr="F:\中日友好\实验室事务\岐黄学者推荐表\huzha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中日友好\实验室事务\岐黄学者推荐表\huzhao.jpg"/>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400" cy="622800"/>
                    </a:xfrm>
                    <a:prstGeom prst="rect">
                      <a:avLst/>
                    </a:prstGeom>
                    <a:noFill/>
                    <a:ln>
                      <a:noFill/>
                    </a:ln>
                  </pic:spPr>
                </pic:pic>
              </a:graphicData>
            </a:graphic>
          </wp:inline>
        </w:drawing>
      </w:r>
      <w:r w:rsidR="004351F7">
        <w:rPr>
          <w:noProof/>
        </w:rPr>
        <w:t xml:space="preserve"> </w:t>
      </w:r>
      <w:r w:rsidR="003B621A">
        <w:rPr>
          <w:noProof/>
        </w:rPr>
        <w:br/>
      </w:r>
      <w:r w:rsidR="00DD1A36">
        <w:rPr>
          <w:noProof/>
        </w:rPr>
        <w:br/>
      </w:r>
      <w:r w:rsidRPr="003B621A">
        <w:rPr>
          <w:b/>
          <w:color w:val="E36C0A" w:themeColor="accent6" w:themeShade="BF"/>
          <w:sz w:val="28"/>
          <w:szCs w:val="28"/>
        </w:rPr>
        <w:t>Biography (150 word limit</w:t>
      </w:r>
      <w:r w:rsidR="004351F7" w:rsidRPr="003B621A">
        <w:rPr>
          <w:b/>
          <w:color w:val="E36C0A" w:themeColor="accent6" w:themeShade="BF"/>
          <w:sz w:val="28"/>
          <w:szCs w:val="28"/>
        </w:rPr>
        <w:t>/Photograph is Mandatory</w:t>
      </w:r>
      <w:r w:rsidRPr="003B621A">
        <w:rPr>
          <w:b/>
          <w:color w:val="E36C0A" w:themeColor="accent6" w:themeShade="BF"/>
          <w:sz w:val="28"/>
          <w:szCs w:val="28"/>
        </w:rPr>
        <w:t>)</w:t>
      </w:r>
      <w:r w:rsidR="00705081">
        <w:rPr>
          <w:b/>
          <w:color w:val="E36C0A" w:themeColor="accent6" w:themeShade="BF"/>
          <w:sz w:val="28"/>
          <w:szCs w:val="28"/>
        </w:rPr>
        <w:br/>
      </w:r>
    </w:p>
    <w:p w:rsidR="00032554" w:rsidRDefault="00D71957" w:rsidP="00DD1A36">
      <w:pPr>
        <w:pStyle w:val="a3"/>
        <w:spacing w:before="7"/>
        <w:jc w:val="both"/>
        <w:rPr>
          <w:rFonts w:ascii="Arial"/>
          <w:sz w:val="29"/>
        </w:rPr>
      </w:pPr>
      <w:r w:rsidRPr="00D71957">
        <w:rPr>
          <w:sz w:val="22"/>
          <w:szCs w:val="22"/>
        </w:rPr>
        <w:t>Ping Li is the chairman of Beijing Key Lab for Immune-Mediated Inflammatory Diseases, Institute of Clinical Medical Science, China-Japan Friendship Hospital. She has engaged in the clinical and basic research of integrated traditional Chinese and western medicine treating kidney disease for 36 years and successively presided over and undertook more than 20 national and provincial level scientific research projects. She has won the second prize of national science and technology progress award and 11 prizes above provincial and ministerial level as the first accomplisher. She has obtained 5 national invention patents. She has published more than 200 papers in journals and academic conferences at home and abroad, of which more than 80 papers are included in SCI. She wrote 11 academic works and edited 5 academic works.</w:t>
      </w:r>
    </w:p>
    <w:p w:rsidR="00D71957" w:rsidRDefault="00D71957" w:rsidP="00D71957">
      <w:pPr>
        <w:jc w:val="both"/>
        <w:rPr>
          <w:b/>
          <w:color w:val="E36C0A" w:themeColor="accent6" w:themeShade="BF"/>
        </w:rPr>
      </w:pPr>
    </w:p>
    <w:p w:rsidR="00D71957" w:rsidRPr="003B621A" w:rsidRDefault="00D71957" w:rsidP="00D71957">
      <w:pPr>
        <w:jc w:val="both"/>
        <w:rPr>
          <w:b/>
          <w:color w:val="E36C0A" w:themeColor="accent6" w:themeShade="BF"/>
        </w:rPr>
      </w:pPr>
      <w:r w:rsidRPr="003B621A">
        <w:rPr>
          <w:b/>
          <w:color w:val="E36C0A" w:themeColor="accent6" w:themeShade="BF"/>
        </w:rPr>
        <w:t>Name:</w:t>
      </w:r>
      <w:r>
        <w:rPr>
          <w:b/>
          <w:color w:val="E36C0A" w:themeColor="accent6" w:themeShade="BF"/>
        </w:rPr>
        <w:t xml:space="preserve"> Ping Li</w:t>
      </w:r>
    </w:p>
    <w:p w:rsidR="00D71957" w:rsidRPr="003B621A" w:rsidRDefault="00D71957" w:rsidP="00D71957">
      <w:pPr>
        <w:jc w:val="both"/>
        <w:rPr>
          <w:b/>
          <w:color w:val="E36C0A" w:themeColor="accent6" w:themeShade="BF"/>
        </w:rPr>
      </w:pPr>
      <w:r w:rsidRPr="003B621A">
        <w:rPr>
          <w:b/>
          <w:color w:val="E36C0A" w:themeColor="accent6" w:themeShade="BF"/>
        </w:rPr>
        <w:t>Affiliation:</w:t>
      </w:r>
      <w:r>
        <w:rPr>
          <w:b/>
          <w:color w:val="E36C0A" w:themeColor="accent6" w:themeShade="BF"/>
        </w:rPr>
        <w:t xml:space="preserve"> </w:t>
      </w:r>
      <w:r w:rsidRPr="008F515D">
        <w:rPr>
          <w:b/>
          <w:color w:val="E36C0A" w:themeColor="accent6" w:themeShade="BF"/>
        </w:rPr>
        <w:t>Beijing Key Laboratory for Immune-Mediated Inflammatory Diseases, Institute of Clinical Medical Sciences</w:t>
      </w:r>
      <w:r>
        <w:rPr>
          <w:b/>
          <w:color w:val="E36C0A" w:themeColor="accent6" w:themeShade="BF"/>
        </w:rPr>
        <w:t xml:space="preserve">, </w:t>
      </w:r>
      <w:r w:rsidRPr="008F515D">
        <w:rPr>
          <w:b/>
          <w:color w:val="E36C0A" w:themeColor="accent6" w:themeShade="BF"/>
        </w:rPr>
        <w:t>China-Japan Friendship Hospital</w:t>
      </w:r>
    </w:p>
    <w:p w:rsidR="00D71957" w:rsidRPr="003B621A" w:rsidRDefault="00D71957" w:rsidP="00D71957">
      <w:pPr>
        <w:jc w:val="both"/>
        <w:rPr>
          <w:b/>
          <w:color w:val="E36C0A" w:themeColor="accent6" w:themeShade="BF"/>
        </w:rPr>
      </w:pPr>
      <w:r w:rsidRPr="003B621A">
        <w:rPr>
          <w:b/>
          <w:color w:val="E36C0A" w:themeColor="accent6" w:themeShade="BF"/>
        </w:rPr>
        <w:t>University:</w:t>
      </w:r>
      <w:r w:rsidRPr="008F515D">
        <w:rPr>
          <w:b/>
          <w:color w:val="E36C0A" w:themeColor="accent6" w:themeShade="BF"/>
        </w:rPr>
        <w:t xml:space="preserve"> </w:t>
      </w:r>
    </w:p>
    <w:p w:rsidR="00D71957" w:rsidRPr="003B621A" w:rsidRDefault="00D71957" w:rsidP="00D71957">
      <w:pPr>
        <w:jc w:val="both"/>
        <w:rPr>
          <w:b/>
          <w:color w:val="E36C0A" w:themeColor="accent6" w:themeShade="BF"/>
        </w:rPr>
      </w:pPr>
      <w:r w:rsidRPr="003B621A">
        <w:rPr>
          <w:b/>
          <w:color w:val="E36C0A" w:themeColor="accent6" w:themeShade="BF"/>
        </w:rPr>
        <w:t>Country:</w:t>
      </w:r>
      <w:r>
        <w:rPr>
          <w:b/>
          <w:color w:val="E36C0A" w:themeColor="accent6" w:themeShade="BF"/>
        </w:rPr>
        <w:t xml:space="preserve"> China</w:t>
      </w:r>
    </w:p>
    <w:p w:rsidR="00D71957" w:rsidRPr="003B621A" w:rsidRDefault="00D71957" w:rsidP="00D71957">
      <w:pPr>
        <w:jc w:val="both"/>
        <w:rPr>
          <w:b/>
          <w:color w:val="E36C0A" w:themeColor="accent6" w:themeShade="BF"/>
        </w:rPr>
        <w:sectPr w:rsidR="00D71957" w:rsidRPr="003B621A" w:rsidSect="00DD1A36">
          <w:type w:val="continuous"/>
          <w:pgSz w:w="11910" w:h="16840"/>
          <w:pgMar w:top="1740" w:right="1420" w:bottom="840" w:left="620" w:header="720" w:footer="720" w:gutter="0"/>
          <w:cols w:space="720"/>
        </w:sectPr>
      </w:pPr>
      <w:r w:rsidRPr="003B621A">
        <w:rPr>
          <w:b/>
          <w:color w:val="E36C0A" w:themeColor="accent6" w:themeShade="BF"/>
        </w:rPr>
        <w:t xml:space="preserve">Email: </w:t>
      </w:r>
      <w:r>
        <w:rPr>
          <w:b/>
          <w:color w:val="E36C0A" w:themeColor="accent6" w:themeShade="BF"/>
        </w:rPr>
        <w:t xml:space="preserve"> lp8675@163.com</w:t>
      </w:r>
    </w:p>
    <w:p w:rsidR="00D71957" w:rsidRPr="003B621A" w:rsidRDefault="00D71957" w:rsidP="00D71957">
      <w:pPr>
        <w:jc w:val="both"/>
        <w:rPr>
          <w:b/>
          <w:color w:val="E36C0A" w:themeColor="accent6" w:themeShade="BF"/>
        </w:rPr>
      </w:pPr>
      <w:r w:rsidRPr="003B621A">
        <w:rPr>
          <w:b/>
          <w:color w:val="E36C0A" w:themeColor="accent6" w:themeShade="BF"/>
        </w:rPr>
        <w:lastRenderedPageBreak/>
        <w:t>Tel:</w:t>
      </w:r>
      <w:r>
        <w:rPr>
          <w:b/>
          <w:color w:val="E36C0A" w:themeColor="accent6" w:themeShade="BF"/>
        </w:rPr>
        <w:t xml:space="preserve"> 86-010-84205272</w:t>
      </w:r>
    </w:p>
    <w:p w:rsidR="000066D5" w:rsidRPr="003B621A" w:rsidRDefault="000066D5" w:rsidP="00D71957">
      <w:pPr>
        <w:jc w:val="both"/>
        <w:rPr>
          <w:b/>
          <w:color w:val="E36C0A" w:themeColor="accent6" w:themeShade="BF"/>
        </w:rPr>
      </w:pPr>
    </w:p>
    <w:sectPr w:rsidR="000066D5" w:rsidRPr="003B621A" w:rsidSect="00D71957">
      <w:type w:val="continuous"/>
      <w:pgSz w:w="11910" w:h="16840"/>
      <w:pgMar w:top="1740" w:right="142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0C88" w:rsidRDefault="003E0C88">
      <w:r>
        <w:separator/>
      </w:r>
    </w:p>
  </w:endnote>
  <w:endnote w:type="continuationSeparator" w:id="0">
    <w:p w:rsidR="003E0C88" w:rsidRDefault="003E0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32554">
    <w:pPr>
      <w:pStyle w:val="a3"/>
      <w:spacing w:line="14" w:lineRule="auto"/>
      <w:rPr>
        <w:sz w:val="20"/>
      </w:rPr>
    </w:pPr>
    <w:r>
      <w:rPr>
        <w:noProof/>
        <w:lang w:eastAsia="zh-CN"/>
      </w:rPr>
      <mc:AlternateContent>
        <mc:Choice Requires="wps">
          <w:drawing>
            <wp:anchor distT="0" distB="0" distL="114300" distR="114300" simplePos="0" relativeHeight="251661312" behindDoc="1" locked="0" layoutInCell="1" allowOverlap="1" wp14:anchorId="5C6506E6" wp14:editId="2AC68A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506E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3255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3255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251662336" behindDoc="1" locked="0" layoutInCell="1" allowOverlap="1" wp14:anchorId="1DB8A45B" wp14:editId="4F85F21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8A45B"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3255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3255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3360" behindDoc="1" locked="0" layoutInCell="1" allowOverlap="1" wp14:anchorId="60A5AE61" wp14:editId="4F1F9E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5AE6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3255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03255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0C88" w:rsidRDefault="003E0C88">
      <w:r>
        <w:separator/>
      </w:r>
    </w:p>
  </w:footnote>
  <w:footnote w:type="continuationSeparator" w:id="0">
    <w:p w:rsidR="003E0C88" w:rsidRDefault="003E0C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32554">
    <w:pPr>
      <w:pStyle w:val="a3"/>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14:anchorId="5DCE6A86" wp14:editId="52D976A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016E1">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E6A8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D7195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eastAsia="zh-CN"/>
      </w:rPr>
      <mc:AlternateContent>
        <mc:Choice Requires="wps">
          <w:drawing>
            <wp:anchor distT="0" distB="0" distL="114300" distR="114300" simplePos="0" relativeHeight="251660288" behindDoc="1" locked="0" layoutInCell="1" allowOverlap="1" wp14:anchorId="7BAA2561" wp14:editId="496901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A256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3255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3255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554"/>
    <w:rsid w:val="000066D5"/>
    <w:rsid w:val="00032554"/>
    <w:rsid w:val="0008550C"/>
    <w:rsid w:val="003B621A"/>
    <w:rsid w:val="003E0C88"/>
    <w:rsid w:val="004016E1"/>
    <w:rsid w:val="00430533"/>
    <w:rsid w:val="004351F7"/>
    <w:rsid w:val="004917DE"/>
    <w:rsid w:val="004A12F9"/>
    <w:rsid w:val="00501B5C"/>
    <w:rsid w:val="0053586C"/>
    <w:rsid w:val="00705081"/>
    <w:rsid w:val="00711700"/>
    <w:rsid w:val="00737737"/>
    <w:rsid w:val="0090222C"/>
    <w:rsid w:val="00A30D91"/>
    <w:rsid w:val="00D226FC"/>
    <w:rsid w:val="00D71957"/>
    <w:rsid w:val="00DB0F77"/>
    <w:rsid w:val="00DD1A36"/>
    <w:rsid w:val="00DD6A45"/>
    <w:rsid w:val="00E550DB"/>
    <w:rsid w:val="00E860F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0663A1C-67DB-49DE-BE25-FD01FB2E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032554"/>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032554"/>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032554"/>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032554"/>
    <w:rPr>
      <w:rFonts w:ascii="Minion Pro" w:eastAsia="Minion Pro" w:hAnsi="Minion Pro" w:cs="Minion Pro"/>
      <w:b/>
      <w:bCs/>
      <w:sz w:val="36"/>
      <w:szCs w:val="36"/>
      <w:lang w:val="en-US"/>
    </w:rPr>
  </w:style>
  <w:style w:type="character" w:customStyle="1" w:styleId="3Char">
    <w:name w:val="标题 3 Char"/>
    <w:basedOn w:val="a0"/>
    <w:link w:val="3"/>
    <w:uiPriority w:val="1"/>
    <w:rsid w:val="00032554"/>
    <w:rPr>
      <w:rFonts w:ascii="Arial" w:eastAsia="Arial" w:hAnsi="Arial" w:cs="Arial"/>
      <w:b/>
      <w:bCs/>
      <w:sz w:val="20"/>
      <w:szCs w:val="20"/>
      <w:lang w:val="en-US"/>
    </w:rPr>
  </w:style>
  <w:style w:type="paragraph" w:styleId="a3">
    <w:name w:val="Body Text"/>
    <w:basedOn w:val="a"/>
    <w:link w:val="Char"/>
    <w:uiPriority w:val="1"/>
    <w:qFormat/>
    <w:rsid w:val="00032554"/>
    <w:rPr>
      <w:sz w:val="18"/>
      <w:szCs w:val="18"/>
    </w:rPr>
  </w:style>
  <w:style w:type="character" w:customStyle="1" w:styleId="Char">
    <w:name w:val="正文文本 Char"/>
    <w:basedOn w:val="a0"/>
    <w:link w:val="a3"/>
    <w:uiPriority w:val="1"/>
    <w:rsid w:val="00032554"/>
    <w:rPr>
      <w:rFonts w:ascii="Tw Cen MT" w:eastAsia="Tw Cen MT" w:hAnsi="Tw Cen MT" w:cs="Tw Cen MT"/>
      <w:sz w:val="18"/>
      <w:szCs w:val="18"/>
      <w:lang w:val="en-US"/>
    </w:rPr>
  </w:style>
  <w:style w:type="paragraph" w:styleId="a4">
    <w:name w:val="List Paragraph"/>
    <w:basedOn w:val="a"/>
    <w:uiPriority w:val="1"/>
    <w:qFormat/>
    <w:rsid w:val="00032554"/>
    <w:pPr>
      <w:spacing w:before="90" w:line="200" w:lineRule="exact"/>
      <w:ind w:left="383" w:hanging="283"/>
      <w:jc w:val="both"/>
    </w:pPr>
    <w:rPr>
      <w:rFonts w:ascii="Calibri" w:eastAsia="Calibri" w:hAnsi="Calibri" w:cs="Calibri"/>
    </w:rPr>
  </w:style>
  <w:style w:type="character" w:styleId="a5">
    <w:name w:val="Hyperlink"/>
    <w:basedOn w:val="a0"/>
    <w:uiPriority w:val="99"/>
    <w:unhideWhenUsed/>
    <w:rsid w:val="00032554"/>
    <w:rPr>
      <w:color w:val="0000FF" w:themeColor="hyperlink"/>
      <w:u w:val="single"/>
    </w:rPr>
  </w:style>
  <w:style w:type="paragraph" w:styleId="a6">
    <w:name w:val="Balloon Text"/>
    <w:basedOn w:val="a"/>
    <w:link w:val="Char0"/>
    <w:uiPriority w:val="99"/>
    <w:semiHidden/>
    <w:unhideWhenUsed/>
    <w:rsid w:val="00032554"/>
    <w:rPr>
      <w:rFonts w:ascii="Tahoma" w:hAnsi="Tahoma" w:cs="Tahoma"/>
      <w:sz w:val="16"/>
      <w:szCs w:val="16"/>
    </w:rPr>
  </w:style>
  <w:style w:type="character" w:customStyle="1" w:styleId="Char0">
    <w:name w:val="批注框文本 Char"/>
    <w:basedOn w:val="a0"/>
    <w:link w:val="a6"/>
    <w:uiPriority w:val="99"/>
    <w:semiHidden/>
    <w:rsid w:val="00032554"/>
    <w:rPr>
      <w:rFonts w:ascii="Tahoma" w:eastAsia="Tw Cen MT" w:hAnsi="Tahoma" w:cs="Tahoma"/>
      <w:sz w:val="16"/>
      <w:szCs w:val="16"/>
      <w:lang w:val="en-US"/>
    </w:rPr>
  </w:style>
  <w:style w:type="paragraph" w:styleId="a7">
    <w:name w:val="header"/>
    <w:basedOn w:val="a"/>
    <w:link w:val="Char1"/>
    <w:uiPriority w:val="99"/>
    <w:unhideWhenUsed/>
    <w:rsid w:val="0053586C"/>
    <w:pPr>
      <w:tabs>
        <w:tab w:val="center" w:pos="4513"/>
        <w:tab w:val="right" w:pos="9026"/>
      </w:tabs>
    </w:pPr>
  </w:style>
  <w:style w:type="character" w:customStyle="1" w:styleId="Char1">
    <w:name w:val="页眉 Char"/>
    <w:basedOn w:val="a0"/>
    <w:link w:val="a7"/>
    <w:uiPriority w:val="99"/>
    <w:rsid w:val="0053586C"/>
    <w:rPr>
      <w:rFonts w:ascii="Tw Cen MT" w:eastAsia="Tw Cen MT" w:hAnsi="Tw Cen MT" w:cs="Tw Cen MT"/>
      <w:lang w:val="en-US"/>
    </w:rPr>
  </w:style>
  <w:style w:type="paragraph" w:styleId="a8">
    <w:name w:val="footer"/>
    <w:basedOn w:val="a"/>
    <w:link w:val="Char2"/>
    <w:uiPriority w:val="99"/>
    <w:unhideWhenUsed/>
    <w:rsid w:val="0053586C"/>
    <w:pPr>
      <w:tabs>
        <w:tab w:val="center" w:pos="4513"/>
        <w:tab w:val="right" w:pos="9026"/>
      </w:tabs>
    </w:pPr>
  </w:style>
  <w:style w:type="character" w:customStyle="1" w:styleId="Char2">
    <w:name w:val="页脚 Char"/>
    <w:basedOn w:val="a0"/>
    <w:link w:val="a8"/>
    <w:uiPriority w:val="99"/>
    <w:rsid w:val="0053586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409</Words>
  <Characters>2335</Characters>
  <Application>Microsoft Office Word</Application>
  <DocSecurity>0</DocSecurity>
  <Lines>19</Lines>
  <Paragraphs>5</Paragraphs>
  <ScaleCrop>false</ScaleCrop>
  <Company>Microsoft</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Anesthesia</dc:creator>
  <cp:lastModifiedBy>赵海玲</cp:lastModifiedBy>
  <cp:revision>4</cp:revision>
  <dcterms:created xsi:type="dcterms:W3CDTF">2020-01-23T01:53:00Z</dcterms:created>
  <dcterms:modified xsi:type="dcterms:W3CDTF">2020-01-23T02:35:00Z</dcterms:modified>
</cp:coreProperties>
</file>