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131" w:rsidRDefault="00BA5246">
      <w:bookmarkStart w:id="0" w:name="_GoBack"/>
      <w:bookmarkEnd w:id="0"/>
      <w:r w:rsidRPr="0066755A">
        <w:rPr>
          <w:b/>
        </w:rPr>
        <w:t>Title</w:t>
      </w:r>
      <w:r>
        <w:t xml:space="preserve">: </w:t>
      </w:r>
      <w:r w:rsidR="00CA2EDE">
        <w:t>Treatment of human pancreatic beta cells with a combination of g</w:t>
      </w:r>
      <w:r w:rsidR="00400C2B">
        <w:t xml:space="preserve">amma-aminobutyric acid (GABA) and GLP-1 </w:t>
      </w:r>
      <w:r w:rsidR="00D81A3F">
        <w:t>ameliorates cell</w:t>
      </w:r>
      <w:r w:rsidR="00CA2EDE">
        <w:t xml:space="preserve"> </w:t>
      </w:r>
      <w:r w:rsidR="00F91A07">
        <w:t>survival</w:t>
      </w:r>
      <w:r w:rsidR="00CA2EDE">
        <w:t xml:space="preserve"> and proliferation</w:t>
      </w:r>
      <w:r w:rsidR="00400C2B">
        <w:t>.</w:t>
      </w:r>
    </w:p>
    <w:p w:rsidR="00BA5246" w:rsidRDefault="00BA5246">
      <w:r w:rsidRPr="0066755A">
        <w:rPr>
          <w:b/>
        </w:rPr>
        <w:t>Authors:</w:t>
      </w:r>
      <w:r>
        <w:t xml:space="preserve"> Gerald J</w:t>
      </w:r>
      <w:r w:rsidR="00ED4E23">
        <w:t xml:space="preserve">. Prud'homme, Yelena </w:t>
      </w:r>
      <w:r w:rsidR="005B772A">
        <w:t>Glinka,</w:t>
      </w:r>
      <w:r w:rsidR="00ED4E23">
        <w:t xml:space="preserve"> </w:t>
      </w:r>
      <w:r>
        <w:t>Merve Kurt</w:t>
      </w:r>
      <w:r w:rsidR="00ED4E23">
        <w:t xml:space="preserve"> and Jack Mackenzie</w:t>
      </w:r>
    </w:p>
    <w:p w:rsidR="00C36566" w:rsidRDefault="0066755A">
      <w:r w:rsidRPr="0066755A">
        <w:rPr>
          <w:b/>
        </w:rPr>
        <w:t>Institute:</w:t>
      </w:r>
      <w:r>
        <w:t xml:space="preserve"> </w:t>
      </w:r>
      <w:r w:rsidR="00A45F1D">
        <w:t xml:space="preserve">St. Michael's Hospital, </w:t>
      </w:r>
      <w:r w:rsidR="00C36566">
        <w:t>Keenan Research Centre for Biomedical Science</w:t>
      </w:r>
      <w:r w:rsidR="00A45F1D">
        <w:t xml:space="preserve"> and University of Toronto</w:t>
      </w:r>
      <w:r w:rsidR="00C36566">
        <w:t>, Toronto, Ontario</w:t>
      </w:r>
      <w:r w:rsidR="00A45F1D">
        <w:t>, Canada M5B 1W8</w:t>
      </w:r>
      <w:r w:rsidR="00C36566">
        <w:t xml:space="preserve">. </w:t>
      </w:r>
      <w:r w:rsidR="00C36566" w:rsidRPr="00A45F1D">
        <w:rPr>
          <w:u w:val="single"/>
        </w:rPr>
        <w:t>Corresponding author</w:t>
      </w:r>
      <w:r w:rsidR="00C36566">
        <w:t>: G. J. Prud'homme; email  prudhommeg@smh.ca</w:t>
      </w:r>
    </w:p>
    <w:p w:rsidR="00A45F1D" w:rsidRPr="0066755A" w:rsidRDefault="00A45F1D">
      <w:pPr>
        <w:rPr>
          <w:rFonts w:ascii="Arial" w:hAnsi="Arial" w:cs="Arial"/>
          <w:b/>
        </w:rPr>
      </w:pPr>
      <w:r w:rsidRPr="0066755A">
        <w:rPr>
          <w:rFonts w:ascii="Arial" w:hAnsi="Arial" w:cs="Arial"/>
          <w:b/>
        </w:rPr>
        <w:t>ABSTRACT</w:t>
      </w:r>
    </w:p>
    <w:p w:rsidR="00C452EE" w:rsidRDefault="00C71CE7">
      <w:r>
        <w:rPr>
          <w:rFonts w:ascii="Arial" w:hAnsi="Arial" w:cs="Arial"/>
        </w:rPr>
        <w:t xml:space="preserve">An effective therapy for type 1 diabetes (T1D) requires </w:t>
      </w:r>
      <w:r w:rsidR="00881644">
        <w:rPr>
          <w:rFonts w:ascii="Arial" w:hAnsi="Arial" w:cs="Arial"/>
        </w:rPr>
        <w:t xml:space="preserve">the </w:t>
      </w:r>
      <w:r>
        <w:rPr>
          <w:rFonts w:ascii="Arial" w:hAnsi="Arial" w:cs="Arial"/>
        </w:rPr>
        <w:t xml:space="preserve">protection of pancreatic beta cells against </w:t>
      </w:r>
      <w:r w:rsidR="00920DD6">
        <w:rPr>
          <w:rFonts w:ascii="Arial" w:hAnsi="Arial" w:cs="Arial"/>
        </w:rPr>
        <w:t xml:space="preserve">autoimmunity </w:t>
      </w:r>
      <w:r>
        <w:rPr>
          <w:rFonts w:ascii="Arial" w:hAnsi="Arial" w:cs="Arial"/>
        </w:rPr>
        <w:t>(immunosuppression</w:t>
      </w:r>
      <w:r w:rsidR="00E02E73">
        <w:rPr>
          <w:rFonts w:ascii="Arial" w:hAnsi="Arial" w:cs="Arial"/>
        </w:rPr>
        <w:t xml:space="preserve"> and/or anti-inflammatory activity</w:t>
      </w:r>
      <w:r>
        <w:rPr>
          <w:rFonts w:ascii="Arial" w:hAnsi="Arial" w:cs="Arial"/>
        </w:rPr>
        <w:t>)</w:t>
      </w:r>
      <w:r w:rsidR="00441B93">
        <w:rPr>
          <w:rFonts w:ascii="Arial" w:hAnsi="Arial" w:cs="Arial"/>
        </w:rPr>
        <w:t xml:space="preserve"> and beta-</w:t>
      </w:r>
      <w:r>
        <w:rPr>
          <w:rFonts w:ascii="Arial" w:hAnsi="Arial" w:cs="Arial"/>
        </w:rPr>
        <w:t>cell proliferation or regeneration</w:t>
      </w:r>
      <w:r w:rsidR="006D2DBC">
        <w:rPr>
          <w:rFonts w:ascii="Arial" w:hAnsi="Arial" w:cs="Arial"/>
        </w:rPr>
        <w:t>.</w:t>
      </w:r>
      <w:r>
        <w:rPr>
          <w:rFonts w:ascii="Arial" w:hAnsi="Arial" w:cs="Arial"/>
        </w:rPr>
        <w:t xml:space="preserve"> No current treatment achieves both goals in a clinical setting. The incretin hormone GLP-1 is effective in the treatment of </w:t>
      </w:r>
      <w:r w:rsidR="00696762">
        <w:rPr>
          <w:rFonts w:ascii="Arial" w:hAnsi="Arial" w:cs="Arial"/>
        </w:rPr>
        <w:t>type 2 diabetes</w:t>
      </w:r>
      <w:r>
        <w:rPr>
          <w:rFonts w:ascii="Arial" w:hAnsi="Arial" w:cs="Arial"/>
        </w:rPr>
        <w:t xml:space="preserve"> (T2D), but not T1D. Recent studies by us and others have shown that GABA protects beta cells against autoimmune injury and induces their regeneration in mice. In this study, we investigated the effects of these drugs on human islets cells, </w:t>
      </w:r>
      <w:r w:rsidR="00B41D6F">
        <w:rPr>
          <w:rFonts w:ascii="Arial" w:hAnsi="Arial" w:cs="Arial"/>
        </w:rPr>
        <w:t>and</w:t>
      </w:r>
      <w:r>
        <w:rPr>
          <w:rFonts w:ascii="Arial" w:hAnsi="Arial" w:cs="Arial"/>
        </w:rPr>
        <w:t xml:space="preserve"> compared their response to rodent</w:t>
      </w:r>
      <w:r w:rsidR="00B41D6F">
        <w:rPr>
          <w:rFonts w:ascii="Arial" w:hAnsi="Arial" w:cs="Arial"/>
        </w:rPr>
        <w:t xml:space="preserve"> insul</w:t>
      </w:r>
      <w:r>
        <w:rPr>
          <w:rFonts w:ascii="Arial" w:hAnsi="Arial" w:cs="Arial"/>
        </w:rPr>
        <w:t xml:space="preserve">inoma cell lines. We found that GABA </w:t>
      </w:r>
      <w:r w:rsidR="00B41D6F">
        <w:rPr>
          <w:rFonts w:ascii="Arial" w:hAnsi="Arial" w:cs="Arial"/>
        </w:rPr>
        <w:t xml:space="preserve">increases </w:t>
      </w:r>
      <w:r w:rsidR="00934CC3">
        <w:rPr>
          <w:rFonts w:ascii="Arial" w:hAnsi="Arial" w:cs="Arial"/>
        </w:rPr>
        <w:t>SIRT1 and Klotho</w:t>
      </w:r>
      <w:r>
        <w:rPr>
          <w:rFonts w:ascii="Arial" w:hAnsi="Arial" w:cs="Arial"/>
        </w:rPr>
        <w:t xml:space="preserve"> (mRNA and protein)</w:t>
      </w:r>
      <w:r w:rsidR="00C57E8C">
        <w:rPr>
          <w:rFonts w:ascii="Arial" w:hAnsi="Arial" w:cs="Arial"/>
        </w:rPr>
        <w:t>, and prevents</w:t>
      </w:r>
      <w:r w:rsidR="00934CC3">
        <w:rPr>
          <w:rFonts w:ascii="Arial" w:hAnsi="Arial" w:cs="Arial"/>
        </w:rPr>
        <w:t xml:space="preserve"> apoptosis </w:t>
      </w:r>
      <w:r w:rsidR="00C57E8C">
        <w:rPr>
          <w:rFonts w:ascii="Arial" w:hAnsi="Arial" w:cs="Arial"/>
        </w:rPr>
        <w:t>induced by</w:t>
      </w:r>
      <w:r w:rsidR="00934CC3">
        <w:rPr>
          <w:rFonts w:ascii="Arial" w:hAnsi="Arial" w:cs="Arial"/>
        </w:rPr>
        <w:t xml:space="preserve"> </w:t>
      </w:r>
      <w:r w:rsidR="00C57E8C">
        <w:rPr>
          <w:rFonts w:ascii="Arial" w:hAnsi="Arial" w:cs="Arial"/>
        </w:rPr>
        <w:t>high glucose levels</w:t>
      </w:r>
      <w:r w:rsidR="00934CC3">
        <w:rPr>
          <w:rFonts w:ascii="Arial" w:hAnsi="Arial" w:cs="Arial"/>
        </w:rPr>
        <w:t xml:space="preserve"> or</w:t>
      </w:r>
      <w:r w:rsidR="00C57E8C">
        <w:rPr>
          <w:rFonts w:ascii="Arial" w:hAnsi="Arial" w:cs="Arial"/>
        </w:rPr>
        <w:t xml:space="preserve"> inflammatory cytokines. Importantly</w:t>
      </w:r>
      <w:r w:rsidR="00934CC3">
        <w:rPr>
          <w:rFonts w:ascii="Arial" w:hAnsi="Arial" w:cs="Arial"/>
        </w:rPr>
        <w:t xml:space="preserve">, </w:t>
      </w:r>
      <w:r w:rsidR="008A17AF">
        <w:rPr>
          <w:rFonts w:ascii="Arial" w:hAnsi="Arial" w:cs="Arial"/>
        </w:rPr>
        <w:t xml:space="preserve">both </w:t>
      </w:r>
      <w:r w:rsidR="00C57E8C">
        <w:rPr>
          <w:rFonts w:ascii="Arial" w:hAnsi="Arial" w:cs="Arial"/>
        </w:rPr>
        <w:t xml:space="preserve">Klotho and </w:t>
      </w:r>
      <w:r w:rsidR="008A17AF">
        <w:rPr>
          <w:rFonts w:ascii="Arial" w:hAnsi="Arial" w:cs="Arial"/>
        </w:rPr>
        <w:t xml:space="preserve">SIRT1 </w:t>
      </w:r>
      <w:r w:rsidR="00C57E8C">
        <w:rPr>
          <w:rFonts w:ascii="Arial" w:hAnsi="Arial" w:cs="Arial"/>
        </w:rPr>
        <w:t xml:space="preserve">inhibit the activation </w:t>
      </w:r>
      <w:r w:rsidR="00D81A3F">
        <w:rPr>
          <w:rFonts w:ascii="Arial" w:hAnsi="Arial" w:cs="Arial"/>
        </w:rPr>
        <w:t>of NF</w:t>
      </w:r>
      <w:r w:rsidR="00C57E8C">
        <w:rPr>
          <w:rFonts w:ascii="Arial" w:hAnsi="Arial" w:cs="Arial"/>
        </w:rPr>
        <w:t>-kB</w:t>
      </w:r>
      <w:r w:rsidR="00696762">
        <w:rPr>
          <w:rFonts w:ascii="Arial" w:hAnsi="Arial" w:cs="Arial"/>
        </w:rPr>
        <w:t xml:space="preserve">. </w:t>
      </w:r>
      <w:r w:rsidR="00C57E8C">
        <w:rPr>
          <w:rFonts w:ascii="Arial" w:hAnsi="Arial" w:cs="Arial"/>
        </w:rPr>
        <w:t xml:space="preserve">The </w:t>
      </w:r>
      <w:r w:rsidR="00696762">
        <w:rPr>
          <w:rFonts w:ascii="Arial" w:hAnsi="Arial" w:cs="Arial"/>
        </w:rPr>
        <w:t xml:space="preserve">NF-kB </w:t>
      </w:r>
      <w:r w:rsidR="00C57E8C">
        <w:rPr>
          <w:rFonts w:ascii="Arial" w:hAnsi="Arial" w:cs="Arial"/>
        </w:rPr>
        <w:t>inflammatory pathway provokes beta-</w:t>
      </w:r>
      <w:r w:rsidR="00696762">
        <w:rPr>
          <w:rFonts w:ascii="Arial" w:hAnsi="Arial" w:cs="Arial"/>
        </w:rPr>
        <w:t xml:space="preserve">cell apoptosis, </w:t>
      </w:r>
      <w:r w:rsidR="00C57E8C">
        <w:rPr>
          <w:rFonts w:ascii="Arial" w:hAnsi="Arial" w:cs="Arial"/>
        </w:rPr>
        <w:t xml:space="preserve">such that </w:t>
      </w:r>
      <w:r w:rsidR="00441B93">
        <w:rPr>
          <w:rFonts w:ascii="Arial" w:hAnsi="Arial" w:cs="Arial"/>
        </w:rPr>
        <w:t xml:space="preserve">its blockade </w:t>
      </w:r>
      <w:r w:rsidR="00C57E8C">
        <w:rPr>
          <w:rFonts w:ascii="Arial" w:hAnsi="Arial" w:cs="Arial"/>
        </w:rPr>
        <w:t>is</w:t>
      </w:r>
      <w:r w:rsidR="008A17AF">
        <w:rPr>
          <w:rFonts w:ascii="Arial" w:hAnsi="Arial" w:cs="Arial"/>
        </w:rPr>
        <w:t xml:space="preserve"> protective</w:t>
      </w:r>
      <w:r w:rsidR="00F91A07">
        <w:rPr>
          <w:rFonts w:ascii="Arial" w:hAnsi="Arial" w:cs="Arial"/>
        </w:rPr>
        <w:t>. W</w:t>
      </w:r>
      <w:r w:rsidR="00B41D6F">
        <w:rPr>
          <w:rFonts w:ascii="Arial" w:hAnsi="Arial" w:cs="Arial"/>
        </w:rPr>
        <w:t xml:space="preserve">e </w:t>
      </w:r>
      <w:r w:rsidR="00C57E8C">
        <w:rPr>
          <w:rFonts w:ascii="Arial" w:hAnsi="Arial" w:cs="Arial"/>
        </w:rPr>
        <w:t>show</w:t>
      </w:r>
      <w:r w:rsidR="00920DD6">
        <w:rPr>
          <w:rFonts w:ascii="Arial" w:hAnsi="Arial" w:cs="Arial"/>
        </w:rPr>
        <w:t xml:space="preserve"> </w:t>
      </w:r>
      <w:r w:rsidR="00B41D6F">
        <w:rPr>
          <w:rFonts w:ascii="Arial" w:hAnsi="Arial" w:cs="Arial"/>
        </w:rPr>
        <w:t xml:space="preserve">that </w:t>
      </w:r>
      <w:r w:rsidR="00696762">
        <w:rPr>
          <w:rFonts w:ascii="Arial" w:hAnsi="Arial" w:cs="Arial"/>
        </w:rPr>
        <w:t xml:space="preserve">a </w:t>
      </w:r>
      <w:r w:rsidR="00B41D6F">
        <w:rPr>
          <w:rFonts w:ascii="Arial" w:hAnsi="Arial" w:cs="Arial"/>
        </w:rPr>
        <w:t xml:space="preserve">GLP-1 </w:t>
      </w:r>
      <w:r w:rsidR="00696762">
        <w:rPr>
          <w:rFonts w:ascii="Arial" w:hAnsi="Arial" w:cs="Arial"/>
        </w:rPr>
        <w:t>receptor (GLP-1R) agonist</w:t>
      </w:r>
      <w:r w:rsidR="00C57E8C">
        <w:rPr>
          <w:rFonts w:ascii="Arial" w:hAnsi="Arial" w:cs="Arial"/>
        </w:rPr>
        <w:t>ic drug ameliorate</w:t>
      </w:r>
      <w:r w:rsidR="00E02E73">
        <w:rPr>
          <w:rFonts w:ascii="Arial" w:hAnsi="Arial" w:cs="Arial"/>
        </w:rPr>
        <w:t>s</w:t>
      </w:r>
      <w:r w:rsidR="00C57E8C">
        <w:rPr>
          <w:rFonts w:ascii="Arial" w:hAnsi="Arial" w:cs="Arial"/>
        </w:rPr>
        <w:t xml:space="preserve"> the effects of GABA in some assays. However, we observed</w:t>
      </w:r>
      <w:r w:rsidR="00696762">
        <w:rPr>
          <w:rFonts w:ascii="Arial" w:hAnsi="Arial" w:cs="Arial"/>
        </w:rPr>
        <w:t xml:space="preserve"> </w:t>
      </w:r>
      <w:r w:rsidR="00F3034E">
        <w:rPr>
          <w:rFonts w:ascii="Arial" w:hAnsi="Arial" w:cs="Arial"/>
        </w:rPr>
        <w:t xml:space="preserve">that </w:t>
      </w:r>
      <w:r w:rsidR="00696762">
        <w:rPr>
          <w:rFonts w:ascii="Arial" w:hAnsi="Arial" w:cs="Arial"/>
        </w:rPr>
        <w:t>a GLP-1R agonist</w:t>
      </w:r>
      <w:r w:rsidR="00E02E73">
        <w:rPr>
          <w:rFonts w:ascii="Arial" w:hAnsi="Arial" w:cs="Arial"/>
        </w:rPr>
        <w:t xml:space="preserve"> does not</w:t>
      </w:r>
      <w:r w:rsidR="00C57E8C">
        <w:rPr>
          <w:rFonts w:ascii="Arial" w:hAnsi="Arial" w:cs="Arial"/>
        </w:rPr>
        <w:t xml:space="preserve"> stimulate</w:t>
      </w:r>
      <w:r w:rsidR="00523082">
        <w:rPr>
          <w:rFonts w:ascii="Arial" w:hAnsi="Arial" w:cs="Arial"/>
        </w:rPr>
        <w:t xml:space="preserve"> human </w:t>
      </w:r>
      <w:r w:rsidR="00523082" w:rsidRPr="008F5971">
        <w:rPr>
          <w:rFonts w:ascii="Arial" w:hAnsi="Arial" w:cs="Arial"/>
        </w:rPr>
        <w:t>beta-cell prolif</w:t>
      </w:r>
      <w:r w:rsidR="00523082">
        <w:rPr>
          <w:rFonts w:ascii="Arial" w:hAnsi="Arial" w:cs="Arial"/>
        </w:rPr>
        <w:t>eration</w:t>
      </w:r>
      <w:r w:rsidR="00C57E8C">
        <w:rPr>
          <w:rFonts w:ascii="Arial" w:hAnsi="Arial" w:cs="Arial"/>
        </w:rPr>
        <w:t>, whereas</w:t>
      </w:r>
      <w:r w:rsidR="00F91A07">
        <w:rPr>
          <w:rFonts w:ascii="Arial" w:hAnsi="Arial" w:cs="Arial"/>
        </w:rPr>
        <w:t xml:space="preserve"> </w:t>
      </w:r>
      <w:r w:rsidR="00523082" w:rsidRPr="008F5971">
        <w:rPr>
          <w:rFonts w:ascii="Arial" w:hAnsi="Arial" w:cs="Arial"/>
        </w:rPr>
        <w:t xml:space="preserve">GABA </w:t>
      </w:r>
      <w:r w:rsidR="000022A0">
        <w:rPr>
          <w:rFonts w:ascii="Arial" w:hAnsi="Arial" w:cs="Arial"/>
        </w:rPr>
        <w:t>does promote</w:t>
      </w:r>
      <w:r w:rsidR="00934CC3">
        <w:rPr>
          <w:rFonts w:ascii="Arial" w:hAnsi="Arial" w:cs="Arial"/>
        </w:rPr>
        <w:t xml:space="preserve"> </w:t>
      </w:r>
      <w:r w:rsidR="00E02E73">
        <w:rPr>
          <w:rFonts w:ascii="Arial" w:hAnsi="Arial" w:cs="Arial"/>
        </w:rPr>
        <w:t xml:space="preserve">proliferation. </w:t>
      </w:r>
      <w:r w:rsidR="00C57E8C">
        <w:rPr>
          <w:rFonts w:ascii="Arial" w:hAnsi="Arial" w:cs="Arial"/>
        </w:rPr>
        <w:t>We conclude that GABA, especially when combined with GLP-1, effectively protects</w:t>
      </w:r>
      <w:r w:rsidR="00920DD6">
        <w:rPr>
          <w:rFonts w:ascii="Arial" w:hAnsi="Arial" w:cs="Arial"/>
        </w:rPr>
        <w:t xml:space="preserve"> human </w:t>
      </w:r>
      <w:r w:rsidR="00075069">
        <w:rPr>
          <w:rFonts w:ascii="Arial" w:hAnsi="Arial" w:cs="Arial"/>
        </w:rPr>
        <w:t xml:space="preserve">beta </w:t>
      </w:r>
      <w:r w:rsidR="00920DD6">
        <w:rPr>
          <w:rFonts w:ascii="Arial" w:hAnsi="Arial" w:cs="Arial"/>
        </w:rPr>
        <w:t xml:space="preserve">islet cells against glucotoxicity and other injuries, and </w:t>
      </w:r>
      <w:r w:rsidR="00C57E8C">
        <w:rPr>
          <w:rFonts w:ascii="Arial" w:hAnsi="Arial" w:cs="Arial"/>
        </w:rPr>
        <w:t xml:space="preserve">that </w:t>
      </w:r>
      <w:r w:rsidR="008A17AF">
        <w:rPr>
          <w:rFonts w:ascii="Arial" w:hAnsi="Arial" w:cs="Arial"/>
        </w:rPr>
        <w:t xml:space="preserve">GABA </w:t>
      </w:r>
      <w:r w:rsidR="00C57E8C">
        <w:rPr>
          <w:rFonts w:ascii="Arial" w:hAnsi="Arial" w:cs="Arial"/>
        </w:rPr>
        <w:t>(but not GLP-1) stimulates</w:t>
      </w:r>
      <w:r w:rsidR="00920DD6">
        <w:rPr>
          <w:rFonts w:ascii="Arial" w:hAnsi="Arial" w:cs="Arial"/>
        </w:rPr>
        <w:t xml:space="preserve"> the</w:t>
      </w:r>
      <w:r w:rsidR="00C57E8C">
        <w:rPr>
          <w:rFonts w:ascii="Arial" w:hAnsi="Arial" w:cs="Arial"/>
        </w:rPr>
        <w:t xml:space="preserve">ir proliferation. These observations suggest that GABA + </w:t>
      </w:r>
      <w:r w:rsidR="00920DD6">
        <w:rPr>
          <w:rFonts w:ascii="Arial" w:hAnsi="Arial" w:cs="Arial"/>
        </w:rPr>
        <w:t xml:space="preserve">GLP-1 therapy </w:t>
      </w:r>
      <w:r w:rsidR="00C57E8C">
        <w:rPr>
          <w:rFonts w:ascii="Arial" w:hAnsi="Arial" w:cs="Arial"/>
        </w:rPr>
        <w:t>will be effective in</w:t>
      </w:r>
      <w:r w:rsidR="00920DD6">
        <w:rPr>
          <w:rFonts w:ascii="Arial" w:hAnsi="Arial" w:cs="Arial"/>
        </w:rPr>
        <w:t xml:space="preserve"> human T1D</w:t>
      </w:r>
      <w:r w:rsidR="00E02E73">
        <w:rPr>
          <w:rFonts w:ascii="Arial" w:hAnsi="Arial" w:cs="Arial"/>
        </w:rPr>
        <w:t xml:space="preserve">, due to a combination of </w:t>
      </w:r>
      <w:r w:rsidR="00033F69">
        <w:rPr>
          <w:rFonts w:ascii="Arial" w:hAnsi="Arial" w:cs="Arial"/>
        </w:rPr>
        <w:t xml:space="preserve">anti-apoptotic, </w:t>
      </w:r>
      <w:r w:rsidR="00E02E73">
        <w:rPr>
          <w:rFonts w:ascii="Arial" w:hAnsi="Arial" w:cs="Arial"/>
        </w:rPr>
        <w:t xml:space="preserve">anti-inflammatory and </w:t>
      </w:r>
      <w:r w:rsidR="00033F69">
        <w:rPr>
          <w:rFonts w:ascii="Arial" w:hAnsi="Arial" w:cs="Arial"/>
        </w:rPr>
        <w:t>proliferative/</w:t>
      </w:r>
      <w:r w:rsidR="00E02E73">
        <w:rPr>
          <w:rFonts w:ascii="Arial" w:hAnsi="Arial" w:cs="Arial"/>
        </w:rPr>
        <w:t>regenerative effects.</w:t>
      </w:r>
    </w:p>
    <w:sectPr w:rsidR="00C45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C2B"/>
    <w:rsid w:val="000022A0"/>
    <w:rsid w:val="000310EA"/>
    <w:rsid w:val="00033F69"/>
    <w:rsid w:val="00075069"/>
    <w:rsid w:val="00183928"/>
    <w:rsid w:val="001F5131"/>
    <w:rsid w:val="00400C2B"/>
    <w:rsid w:val="00441B93"/>
    <w:rsid w:val="00523082"/>
    <w:rsid w:val="005A28B4"/>
    <w:rsid w:val="005B772A"/>
    <w:rsid w:val="00665B97"/>
    <w:rsid w:val="0066755A"/>
    <w:rsid w:val="00696762"/>
    <w:rsid w:val="006D2DBC"/>
    <w:rsid w:val="00881644"/>
    <w:rsid w:val="008A17AF"/>
    <w:rsid w:val="00920DD6"/>
    <w:rsid w:val="00934CC3"/>
    <w:rsid w:val="009E2ECC"/>
    <w:rsid w:val="00A45F1D"/>
    <w:rsid w:val="00B41D6F"/>
    <w:rsid w:val="00BA5246"/>
    <w:rsid w:val="00C36566"/>
    <w:rsid w:val="00C452EE"/>
    <w:rsid w:val="00C57E8C"/>
    <w:rsid w:val="00C71CE7"/>
    <w:rsid w:val="00CA2EDE"/>
    <w:rsid w:val="00D81A3F"/>
    <w:rsid w:val="00D92C91"/>
    <w:rsid w:val="00E02E73"/>
    <w:rsid w:val="00ED4E23"/>
    <w:rsid w:val="00F3034E"/>
    <w:rsid w:val="00F87AA8"/>
    <w:rsid w:val="00F91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Prud'homme</dc:creator>
  <cp:lastModifiedBy>Gerald Prud'homme</cp:lastModifiedBy>
  <cp:revision>2</cp:revision>
  <cp:lastPrinted>2017-04-18T20:10:00Z</cp:lastPrinted>
  <dcterms:created xsi:type="dcterms:W3CDTF">2017-04-18T20:13:00Z</dcterms:created>
  <dcterms:modified xsi:type="dcterms:W3CDTF">2017-04-18T20:13:00Z</dcterms:modified>
</cp:coreProperties>
</file>