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7A7F9" w14:textId="1DA96626" w:rsidR="00AE3E37" w:rsidRDefault="004D2BB1" w:rsidP="00494130">
      <w:pPr>
        <w:pStyle w:val="Heading1"/>
        <w:spacing w:before="170"/>
        <w:ind w:left="0"/>
      </w:pPr>
      <w:r>
        <w:rPr>
          <w:color w:val="337AB7"/>
        </w:rPr>
        <w:t>Dental and Oral Health</w:t>
      </w:r>
      <w:r w:rsidR="00A9710C">
        <w:rPr>
          <w:color w:val="337AB7"/>
        </w:rPr>
        <w:t xml:space="preserve">: </w:t>
      </w:r>
      <w:r>
        <w:rPr>
          <w:color w:val="337AB7"/>
        </w:rPr>
        <w:t>The Unseen Team</w:t>
      </w:r>
    </w:p>
    <w:p w14:paraId="040DE84E" w14:textId="77777777" w:rsidR="00036394" w:rsidRPr="00036394" w:rsidRDefault="00036394" w:rsidP="00036394">
      <w:pPr>
        <w:rPr>
          <w:rFonts w:ascii="Arial" w:hAnsi="Arial" w:cs="Arial"/>
          <w:color w:val="000000"/>
          <w:sz w:val="18"/>
          <w:szCs w:val="18"/>
          <w:shd w:val="clear" w:color="auto" w:fill="FFFFFF"/>
        </w:rPr>
      </w:pPr>
      <w:r w:rsidRPr="00036394">
        <w:rPr>
          <w:rFonts w:ascii="Arial" w:hAnsi="Arial" w:cs="Arial"/>
          <w:color w:val="000000"/>
          <w:sz w:val="18"/>
          <w:szCs w:val="18"/>
          <w:shd w:val="clear" w:color="auto" w:fill="FFFFFF"/>
        </w:rPr>
        <w:t>Bene Ekine-Afolabi, PhD</w:t>
      </w:r>
    </w:p>
    <w:p w14:paraId="2495A765" w14:textId="6B4254C9" w:rsidR="00036394" w:rsidRPr="00036394" w:rsidRDefault="00036394" w:rsidP="00036394">
      <w:pPr>
        <w:rPr>
          <w:rFonts w:ascii="Arial" w:hAnsi="Arial" w:cs="Arial"/>
          <w:color w:val="000000"/>
          <w:sz w:val="18"/>
          <w:szCs w:val="18"/>
          <w:shd w:val="clear" w:color="auto" w:fill="FFFFFF"/>
        </w:rPr>
      </w:pPr>
      <w:r w:rsidRPr="00036394">
        <w:rPr>
          <w:rFonts w:ascii="Arial" w:hAnsi="Arial" w:cs="Arial"/>
          <w:color w:val="000000"/>
          <w:sz w:val="18"/>
          <w:szCs w:val="18"/>
          <w:shd w:val="clear" w:color="auto" w:fill="FFFFFF"/>
        </w:rPr>
        <w:t>ZEAB Therapeutic LTD, Department of Research and Development, England, United Kingdom</w:t>
      </w:r>
    </w:p>
    <w:p w14:paraId="1C4383DE" w14:textId="6ABB968F" w:rsidR="00036394" w:rsidRPr="00036394" w:rsidRDefault="00036394" w:rsidP="00036394">
      <w:pPr>
        <w:rPr>
          <w:rFonts w:ascii="Arial" w:hAnsi="Arial" w:cs="Arial"/>
          <w:color w:val="000000"/>
          <w:sz w:val="18"/>
          <w:szCs w:val="18"/>
          <w:shd w:val="clear" w:color="auto" w:fill="FFFFFF"/>
        </w:rPr>
      </w:pPr>
      <w:r w:rsidRPr="00036394">
        <w:rPr>
          <w:rFonts w:ascii="Arial" w:hAnsi="Arial" w:cs="Arial"/>
          <w:color w:val="000000"/>
          <w:sz w:val="18"/>
          <w:szCs w:val="18"/>
          <w:shd w:val="clear" w:color="auto" w:fill="FFFFFF"/>
        </w:rPr>
        <w:t>University of East London, School of Health, Sport and Bioscience, England, United Kingdom</w:t>
      </w:r>
      <w:r w:rsidRPr="00036394">
        <w:rPr>
          <w:rFonts w:ascii="Arial" w:hAnsi="Arial" w:cs="Arial"/>
          <w:color w:val="000000"/>
          <w:sz w:val="18"/>
          <w:szCs w:val="18"/>
          <w:shd w:val="clear" w:color="auto" w:fill="FFFFFF"/>
        </w:rPr>
        <w:t xml:space="preserve"> </w:t>
      </w:r>
    </w:p>
    <w:p w14:paraId="56C1EC44" w14:textId="581A4E72" w:rsidR="00AE3E37" w:rsidRDefault="00AE3E37">
      <w:pPr>
        <w:pStyle w:val="BodyText"/>
        <w:rPr>
          <w:rFonts w:ascii="Arial"/>
          <w:sz w:val="20"/>
        </w:rPr>
      </w:pPr>
    </w:p>
    <w:p w14:paraId="6891D021"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18A6A3D" w14:textId="77777777" w:rsidR="004D2BB1" w:rsidRDefault="004D2BB1" w:rsidP="004D2BB1">
      <w:pPr>
        <w:rPr>
          <w:rFonts w:ascii="Montserrat" w:hAnsi="Montserrat"/>
          <w:b/>
          <w:bCs/>
          <w:color w:val="000000"/>
          <w:sz w:val="20"/>
          <w:szCs w:val="20"/>
          <w:shd w:val="clear" w:color="auto" w:fill="FFFFFF"/>
        </w:rPr>
      </w:pPr>
      <w:r w:rsidRPr="00951DC3">
        <w:rPr>
          <w:rFonts w:ascii="Montserrat" w:hAnsi="Montserrat"/>
          <w:b/>
          <w:bCs/>
          <w:color w:val="000000"/>
          <w:sz w:val="20"/>
          <w:szCs w:val="20"/>
          <w:shd w:val="clear" w:color="auto" w:fill="FFFFFF"/>
        </w:rPr>
        <w:t>Abstract </w:t>
      </w:r>
    </w:p>
    <w:p w14:paraId="061A53B8" w14:textId="14FE5358" w:rsidR="004D2BB1" w:rsidRDefault="004D2BB1" w:rsidP="004D2BB1">
      <w:pPr>
        <w:spacing w:line="360" w:lineRule="auto"/>
        <w:jc w:val="both"/>
        <w:rPr>
          <w:rFonts w:asciiTheme="minorHAnsi" w:hAnsiTheme="minorHAnsi" w:cstheme="minorHAnsi"/>
          <w:color w:val="000000"/>
          <w:sz w:val="18"/>
          <w:szCs w:val="18"/>
          <w:shd w:val="clear" w:color="auto" w:fill="FFFFFF"/>
        </w:rPr>
      </w:pPr>
      <w:r w:rsidRPr="004D2BB1">
        <w:rPr>
          <w:rFonts w:asciiTheme="minorHAnsi" w:hAnsiTheme="minorHAnsi" w:cstheme="minorHAnsi"/>
          <w:color w:val="000000"/>
          <w:sz w:val="18"/>
          <w:szCs w:val="18"/>
          <w:shd w:val="clear" w:color="auto" w:fill="FFFFFF"/>
        </w:rPr>
        <w:t xml:space="preserve">The oral cavity which is comprising of the dental sets, tongues, </w:t>
      </w:r>
      <w:proofErr w:type="gramStart"/>
      <w:r w:rsidRPr="004D2BB1">
        <w:rPr>
          <w:rFonts w:asciiTheme="minorHAnsi" w:hAnsiTheme="minorHAnsi" w:cstheme="minorHAnsi"/>
          <w:color w:val="000000"/>
          <w:sz w:val="18"/>
          <w:szCs w:val="18"/>
          <w:shd w:val="clear" w:color="auto" w:fill="FFFFFF"/>
        </w:rPr>
        <w:t>larynx</w:t>
      </w:r>
      <w:proofErr w:type="gramEnd"/>
      <w:r w:rsidRPr="004D2BB1">
        <w:rPr>
          <w:rFonts w:asciiTheme="minorHAnsi" w:hAnsiTheme="minorHAnsi" w:cstheme="minorHAnsi"/>
          <w:color w:val="000000"/>
          <w:sz w:val="18"/>
          <w:szCs w:val="18"/>
          <w:shd w:val="clear" w:color="auto" w:fill="FFFFFF"/>
        </w:rPr>
        <w:t xml:space="preserve"> and microorganisms, is an important part of the human body. Food intake in healthy individual passes through the oral cavity as the first point of call. This means that every element of food has its first contact with the dental set and the mucus membrane of the oral cavity. Thus, meaning the that dental set and the oral cavity will be the first home to unfriendly bacteria that are associated with food. Therefore, the initiation of immunity to unfriendly microorganisms will commence in the oral cavity. Maintaining healthy gum and teeth is a lifelong </w:t>
      </w:r>
      <w:r w:rsidRPr="004D2BB1">
        <w:rPr>
          <w:rFonts w:asciiTheme="minorHAnsi" w:hAnsiTheme="minorHAnsi" w:cstheme="minorHAnsi"/>
          <w:color w:val="000000"/>
          <w:sz w:val="18"/>
          <w:szCs w:val="18"/>
          <w:shd w:val="clear" w:color="auto" w:fill="FFFFFF"/>
        </w:rPr>
        <w:t>endeavor. Gum</w:t>
      </w:r>
      <w:r w:rsidRPr="004D2BB1">
        <w:rPr>
          <w:rFonts w:asciiTheme="minorHAnsi" w:hAnsiTheme="minorHAnsi" w:cstheme="minorHAnsi"/>
          <w:color w:val="000000"/>
          <w:sz w:val="18"/>
          <w:szCs w:val="18"/>
          <w:shd w:val="clear" w:color="auto" w:fill="FFFFFF"/>
        </w:rPr>
        <w:t xml:space="preserve"> diseases and dental decay has often been treated with little or no attention to the genetic status of an individual. Glutathione is important in immune response and homeostasis of an individual, in disease prevention. Various disease including cancer, diabetes, and cardiovascular disease have been linked to poor oral hygiene; however, the implication of genetic status has not been elucidated.  Accumulating evidence have shown the implication of glutathione dysfunction in diseases and shown to be common mostly in individuals with glutathione -S-transferases polymorphisms, an enzyme responsible for the function of glutathione. Microorganisms associated to food and genetic status of glutathione S-transferase as well as glutathione availability in individuals could be the unseen team to give answer to gum disease and oral cancer prevention and/ or treatment. </w:t>
      </w:r>
    </w:p>
    <w:p w14:paraId="42B9A1D9" w14:textId="2D40DCC6" w:rsidR="00036394" w:rsidRPr="004D2BB1" w:rsidRDefault="00036394" w:rsidP="004D2BB1">
      <w:pPr>
        <w:spacing w:line="360" w:lineRule="auto"/>
        <w:jc w:val="both"/>
        <w:rPr>
          <w:rFonts w:asciiTheme="minorHAnsi" w:hAnsiTheme="minorHAnsi" w:cstheme="minorHAnsi"/>
          <w:color w:val="000000"/>
          <w:sz w:val="18"/>
          <w:szCs w:val="18"/>
          <w:shd w:val="clear" w:color="auto" w:fill="FFFFFF"/>
        </w:rPr>
      </w:pPr>
      <w:r>
        <w:rPr>
          <w:rFonts w:asciiTheme="minorHAnsi" w:hAnsiTheme="minorHAnsi" w:cstheme="minorHAnsi"/>
          <w:color w:val="000000"/>
          <w:sz w:val="18"/>
          <w:szCs w:val="18"/>
          <w:shd w:val="clear" w:color="auto" w:fill="FFFFFF"/>
        </w:rPr>
        <w:t>Keywords: microorganisms, GST, glutathione, prevention, diseases</w:t>
      </w:r>
    </w:p>
    <w:p w14:paraId="12DBCE46" w14:textId="77777777" w:rsidR="00AE3E37" w:rsidRDefault="00A9710C">
      <w:pPr>
        <w:pStyle w:val="Heading3"/>
        <w:spacing w:before="74"/>
      </w:pPr>
      <w:r>
        <w:rPr>
          <w:b w:val="0"/>
        </w:rPr>
        <w:br w:type="column"/>
      </w:r>
      <w:r>
        <w:rPr>
          <w:color w:val="BF5A14"/>
        </w:rPr>
        <w:t>Image</w:t>
      </w:r>
    </w:p>
    <w:p w14:paraId="1585026A" w14:textId="7BD01D2C" w:rsidR="00AE3E37" w:rsidRDefault="00B65F76">
      <w:pPr>
        <w:pStyle w:val="BodyText"/>
        <w:spacing w:before="2"/>
        <w:rPr>
          <w:rFonts w:ascii="Arial"/>
          <w:b/>
          <w:sz w:val="16"/>
        </w:rPr>
      </w:pPr>
      <w:r w:rsidRPr="00036394">
        <w:rPr>
          <w:rFonts w:ascii="Arial"/>
          <w:b/>
          <w:noProof/>
          <w:sz w:val="16"/>
        </w:rPr>
        <mc:AlternateContent>
          <mc:Choice Requires="wps">
            <w:drawing>
              <wp:anchor distT="45720" distB="45720" distL="114300" distR="114300" simplePos="0" relativeHeight="251660288" behindDoc="0" locked="0" layoutInCell="1" allowOverlap="1" wp14:anchorId="2E2DDF9B" wp14:editId="72411931">
                <wp:simplePos x="0" y="0"/>
                <wp:positionH relativeFrom="column">
                  <wp:posOffset>52705</wp:posOffset>
                </wp:positionH>
                <wp:positionV relativeFrom="paragraph">
                  <wp:posOffset>1808480</wp:posOffset>
                </wp:positionV>
                <wp:extent cx="3115310" cy="28956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5310" cy="289560"/>
                        </a:xfrm>
                        <a:prstGeom prst="rect">
                          <a:avLst/>
                        </a:prstGeom>
                        <a:solidFill>
                          <a:srgbClr val="FFFFFF"/>
                        </a:solidFill>
                        <a:ln w="9525">
                          <a:noFill/>
                          <a:miter lim="800000"/>
                          <a:headEnd/>
                          <a:tailEnd/>
                        </a:ln>
                      </wps:spPr>
                      <wps:txbx>
                        <w:txbxContent>
                          <w:p w14:paraId="252E6A05" w14:textId="2282E357" w:rsidR="00036394" w:rsidRDefault="00B65F76">
                            <w:r>
                              <w:t>Fig 1: The functioning of glutathione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2DDF9B" id="_x0000_t202" coordsize="21600,21600" o:spt="202" path="m,l,21600r21600,l21600,xe">
                <v:stroke joinstyle="miter"/>
                <v:path gradientshapeok="t" o:connecttype="rect"/>
              </v:shapetype>
              <v:shape id="Text Box 2" o:spid="_x0000_s1026" type="#_x0000_t202" style="position:absolute;margin-left:4.15pt;margin-top:142.4pt;width:245.3pt;height:22.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" stroked="f">
                <v:textbox>
                  <w:txbxContent>
                    <w:p w14:paraId="252E6A05" w14:textId="2282E357" w:rsidR="00036394" w:rsidRDefault="00B65F76">
                      <w:r>
                        <w:t>Fig 1: The functioning of glutathione</w:t>
                      </w:r>
                    </w:p>
                  </w:txbxContent>
                </v:textbox>
                <w10:wrap type="square"/>
              </v:shape>
            </w:pict>
          </mc:Fallback>
        </mc:AlternateContent>
      </w:r>
      <w:r w:rsidR="00036394" w:rsidRPr="00036394">
        <w:rPr>
          <w:rFonts w:ascii="Calibri" w:eastAsia="Calibri" w:hAnsi="Calibri" w:cs="Times New Roman"/>
          <w:noProof/>
          <w:sz w:val="22"/>
          <w:szCs w:val="22"/>
          <w:lang w:val="en-GB"/>
        </w:rPr>
        <w:drawing>
          <wp:inline distT="0" distB="0" distL="0" distR="0" wp14:anchorId="0F47DFF1" wp14:editId="4BBC5173">
            <wp:extent cx="3165475" cy="1705463"/>
            <wp:effectExtent l="0" t="0" r="0" b="9525"/>
            <wp:docPr id="6" name="Picture 6"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whiteboard&#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l="750" r="5759" b="10444"/>
                    <a:stretch/>
                  </pic:blipFill>
                  <pic:spPr bwMode="auto">
                    <a:xfrm>
                      <a:off x="0" y="0"/>
                      <a:ext cx="3165475" cy="1705463"/>
                    </a:xfrm>
                    <a:prstGeom prst="rect">
                      <a:avLst/>
                    </a:prstGeom>
                    <a:noFill/>
                    <a:ln>
                      <a:noFill/>
                    </a:ln>
                    <a:extLst>
                      <a:ext uri="{53640926-AAD7-44D8-BBD7-CCE9431645EC}">
                        <a14:shadowObscured xmlns:a14="http://schemas.microsoft.com/office/drawing/2010/main"/>
                      </a:ext>
                    </a:extLst>
                  </pic:spPr>
                </pic:pic>
              </a:graphicData>
            </a:graphic>
          </wp:inline>
        </w:drawing>
      </w:r>
    </w:p>
    <w:p w14:paraId="2ABA4BB7" w14:textId="41F564A7" w:rsidR="005973B9" w:rsidRDefault="005973B9" w:rsidP="005973B9">
      <w:pPr>
        <w:spacing w:line="204" w:lineRule="exact"/>
        <w:rPr>
          <w:rFonts w:ascii="Arial"/>
          <w:b/>
          <w:sz w:val="20"/>
        </w:rPr>
      </w:pPr>
      <w:r>
        <w:rPr>
          <w:rFonts w:ascii="Arial"/>
          <w:b/>
          <w:color w:val="BF5A14"/>
          <w:sz w:val="20"/>
        </w:rPr>
        <w:br/>
        <w:t>Recent Publications (minimum 5)</w:t>
      </w:r>
    </w:p>
    <w:p w14:paraId="2C496F0F" w14:textId="0EAE0DC1" w:rsidR="004D2BB1" w:rsidRPr="004D2BB1" w:rsidRDefault="004D2BB1" w:rsidP="004D2BB1">
      <w:pPr>
        <w:numPr>
          <w:ilvl w:val="0"/>
          <w:numId w:val="4"/>
        </w:numPr>
        <w:tabs>
          <w:tab w:val="left" w:pos="384"/>
        </w:tabs>
        <w:ind w:right="117"/>
        <w:jc w:val="both"/>
        <w:rPr>
          <w:rFonts w:ascii="Calibri" w:eastAsia="Calibri" w:hAnsi="Calibri" w:cs="Calibri"/>
          <w:bCs/>
          <w:sz w:val="18"/>
          <w:lang w:val="en-GB"/>
        </w:rPr>
      </w:pPr>
      <w:r w:rsidRPr="004D2BB1">
        <w:rPr>
          <w:rFonts w:ascii="Calibri" w:eastAsia="Calibri" w:hAnsi="Calibri" w:cs="Calibri"/>
          <w:sz w:val="18"/>
          <w:lang w:val="en-GB"/>
        </w:rPr>
        <w:t>The Impact of Diet on the Involvement of Non-Coding RNAs, Extracellular Vesicles, and Gut Microbiome-</w:t>
      </w:r>
      <w:proofErr w:type="spellStart"/>
      <w:r w:rsidRPr="004D2BB1">
        <w:rPr>
          <w:rFonts w:ascii="Calibri" w:eastAsia="Calibri" w:hAnsi="Calibri" w:cs="Calibri"/>
          <w:sz w:val="18"/>
          <w:lang w:val="en-GB"/>
        </w:rPr>
        <w:t>Virome</w:t>
      </w:r>
      <w:proofErr w:type="spellEnd"/>
      <w:r w:rsidRPr="004D2BB1">
        <w:rPr>
          <w:rFonts w:ascii="Calibri" w:eastAsia="Calibri" w:hAnsi="Calibri" w:cs="Calibri"/>
          <w:sz w:val="18"/>
          <w:lang w:val="en-GB"/>
        </w:rPr>
        <w:t xml:space="preserve"> in Colorectal Cancer Initiation and Progression. Frontiers in Oncology https://doi.org/10.3389/fonc.2020.583372 </w:t>
      </w:r>
      <w:r w:rsidRPr="004D2BB1">
        <w:rPr>
          <w:rFonts w:ascii="Calibri" w:eastAsia="Calibri" w:hAnsi="Calibri" w:cs="Calibri"/>
          <w:b/>
          <w:bCs/>
          <w:sz w:val="18"/>
          <w:lang w:val="en-GB"/>
        </w:rPr>
        <w:t xml:space="preserve">Bene A. Ekine-Afolabi, Anoka A. </w:t>
      </w:r>
      <w:proofErr w:type="spellStart"/>
      <w:r w:rsidRPr="004D2BB1">
        <w:rPr>
          <w:rFonts w:ascii="Calibri" w:eastAsia="Calibri" w:hAnsi="Calibri" w:cs="Calibri"/>
          <w:b/>
          <w:bCs/>
          <w:sz w:val="18"/>
          <w:lang w:val="en-GB"/>
        </w:rPr>
        <w:t>Njan</w:t>
      </w:r>
      <w:proofErr w:type="spellEnd"/>
      <w:r w:rsidRPr="004D2BB1">
        <w:rPr>
          <w:rFonts w:ascii="Calibri" w:eastAsia="Calibri" w:hAnsi="Calibri" w:cs="Calibri"/>
          <w:b/>
          <w:bCs/>
          <w:sz w:val="18"/>
          <w:lang w:val="en-GB"/>
        </w:rPr>
        <w:t xml:space="preserve">, Solomon O. Rotimi, Anu R. I, Attia M. </w:t>
      </w:r>
      <w:proofErr w:type="spellStart"/>
      <w:r w:rsidRPr="004D2BB1">
        <w:rPr>
          <w:rFonts w:ascii="Calibri" w:eastAsia="Calibri" w:hAnsi="Calibri" w:cs="Calibri"/>
          <w:b/>
          <w:bCs/>
          <w:sz w:val="18"/>
          <w:lang w:val="en-GB"/>
        </w:rPr>
        <w:t>Elbehi</w:t>
      </w:r>
      <w:proofErr w:type="spellEnd"/>
      <w:r w:rsidRPr="004D2BB1">
        <w:rPr>
          <w:rFonts w:ascii="Calibri" w:eastAsia="Calibri" w:hAnsi="Calibri" w:cs="Calibri"/>
          <w:b/>
          <w:bCs/>
          <w:sz w:val="18"/>
          <w:lang w:val="en-GB"/>
        </w:rPr>
        <w:t xml:space="preserve">, Elizabeth Cash, and Ademola </w:t>
      </w:r>
      <w:proofErr w:type="spellStart"/>
      <w:r w:rsidRPr="004D2BB1">
        <w:rPr>
          <w:rFonts w:ascii="Calibri" w:eastAsia="Calibri" w:hAnsi="Calibri" w:cs="Calibri"/>
          <w:b/>
          <w:bCs/>
          <w:sz w:val="18"/>
          <w:lang w:val="en-GB"/>
        </w:rPr>
        <w:t>Adeyeye</w:t>
      </w:r>
      <w:proofErr w:type="spellEnd"/>
    </w:p>
    <w:p w14:paraId="18365C08" w14:textId="77777777" w:rsidR="004D2BB1" w:rsidRPr="004D2BB1" w:rsidRDefault="004D2BB1" w:rsidP="004D2BB1">
      <w:pPr>
        <w:tabs>
          <w:tab w:val="left" w:pos="384"/>
        </w:tabs>
        <w:ind w:right="117"/>
        <w:jc w:val="both"/>
        <w:rPr>
          <w:rFonts w:ascii="Calibri" w:eastAsia="Calibri" w:hAnsi="Calibri" w:cs="Calibri"/>
          <w:bCs/>
          <w:sz w:val="18"/>
          <w:lang w:val="en-GB"/>
        </w:rPr>
      </w:pPr>
    </w:p>
    <w:p w14:paraId="7875609E" w14:textId="77777777" w:rsidR="004D2BB1" w:rsidRPr="004D2BB1" w:rsidRDefault="004D2BB1" w:rsidP="004D2BB1">
      <w:pPr>
        <w:numPr>
          <w:ilvl w:val="0"/>
          <w:numId w:val="4"/>
        </w:numPr>
        <w:tabs>
          <w:tab w:val="left" w:pos="384"/>
        </w:tabs>
        <w:ind w:right="117"/>
        <w:jc w:val="both"/>
        <w:rPr>
          <w:rFonts w:ascii="Calibri" w:eastAsia="Calibri" w:hAnsi="Calibri" w:cs="Calibri"/>
          <w:b/>
          <w:sz w:val="18"/>
        </w:rPr>
      </w:pPr>
      <w:r w:rsidRPr="004D2BB1">
        <w:rPr>
          <w:rFonts w:ascii="Calibri" w:eastAsia="Calibri" w:hAnsi="Calibri" w:cs="Calibri"/>
          <w:bCs/>
          <w:sz w:val="18"/>
        </w:rPr>
        <w:t xml:space="preserve">Mutational Signatures, Variant Topography, and Signature Pathways in Breast Cancer: A Futuristic approach to personalized care. </w:t>
      </w:r>
      <w:r w:rsidRPr="004D2BB1">
        <w:rPr>
          <w:rFonts w:ascii="Calibri" w:eastAsia="Calibri" w:hAnsi="Calibri" w:cs="Calibri"/>
          <w:sz w:val="18"/>
          <w:lang w:val="en-GB"/>
        </w:rPr>
        <w:t xml:space="preserve">Translational genomics. doi:10.9777/tg.2020.10001.  </w:t>
      </w:r>
      <w:r w:rsidRPr="004D2BB1">
        <w:rPr>
          <w:rFonts w:ascii="Calibri" w:eastAsia="Calibri" w:hAnsi="Calibri" w:cs="Calibri"/>
          <w:b/>
          <w:sz w:val="18"/>
        </w:rPr>
        <w:t xml:space="preserve">Anu R I, Attia M. </w:t>
      </w:r>
      <w:proofErr w:type="spellStart"/>
      <w:r w:rsidRPr="004D2BB1">
        <w:rPr>
          <w:rFonts w:ascii="Calibri" w:eastAsia="Calibri" w:hAnsi="Calibri" w:cs="Calibri"/>
          <w:b/>
          <w:sz w:val="18"/>
        </w:rPr>
        <w:t>Elbehi</w:t>
      </w:r>
      <w:proofErr w:type="spellEnd"/>
      <w:r w:rsidRPr="004D2BB1">
        <w:rPr>
          <w:rFonts w:ascii="Calibri" w:eastAsia="Calibri" w:hAnsi="Calibri" w:cs="Calibri"/>
          <w:b/>
          <w:sz w:val="18"/>
        </w:rPr>
        <w:t>, Bene Ekine-Afolabi, Elizabeth Cash</w:t>
      </w:r>
    </w:p>
    <w:p w14:paraId="4A0872B4" w14:textId="77777777" w:rsidR="004D2BB1" w:rsidRPr="004D2BB1" w:rsidRDefault="004D2BB1" w:rsidP="004D2BB1">
      <w:pPr>
        <w:tabs>
          <w:tab w:val="left" w:pos="384"/>
        </w:tabs>
        <w:ind w:right="117"/>
        <w:jc w:val="both"/>
        <w:rPr>
          <w:rFonts w:ascii="Calibri" w:eastAsia="Calibri" w:hAnsi="Calibri" w:cs="Calibri"/>
          <w:b/>
          <w:sz w:val="18"/>
        </w:rPr>
      </w:pPr>
    </w:p>
    <w:p w14:paraId="44E1D6D1" w14:textId="40D6B310" w:rsidR="004D2BB1" w:rsidRPr="004D2BB1" w:rsidRDefault="004D2BB1" w:rsidP="007222E5">
      <w:pPr>
        <w:numPr>
          <w:ilvl w:val="0"/>
          <w:numId w:val="4"/>
        </w:numPr>
        <w:tabs>
          <w:tab w:val="left" w:pos="384"/>
        </w:tabs>
        <w:ind w:right="117"/>
        <w:jc w:val="both"/>
        <w:rPr>
          <w:rFonts w:ascii="Calibri" w:eastAsia="Calibri" w:hAnsi="Calibri" w:cs="Calibri"/>
          <w:b/>
          <w:bCs/>
          <w:sz w:val="18"/>
          <w:lang w:val="en-GB"/>
        </w:rPr>
      </w:pPr>
      <w:r w:rsidRPr="004D2BB1">
        <w:rPr>
          <w:rFonts w:ascii="Calibri" w:eastAsia="Calibri" w:hAnsi="Calibri" w:cs="Calibri"/>
          <w:sz w:val="18"/>
          <w:lang w:val="en-GB"/>
        </w:rPr>
        <w:t>Emerging role of immune checkpoint inhibitors and predictive biomarkers</w:t>
      </w:r>
      <w:r w:rsidRPr="004D2BB1">
        <w:rPr>
          <w:rFonts w:ascii="Calibri" w:eastAsia="Calibri" w:hAnsi="Calibri" w:cs="Calibri"/>
          <w:sz w:val="18"/>
          <w:lang w:val="en-GB"/>
        </w:rPr>
        <w:t xml:space="preserve"> </w:t>
      </w:r>
      <w:r w:rsidRPr="004D2BB1">
        <w:rPr>
          <w:rFonts w:ascii="Calibri" w:eastAsia="Calibri" w:hAnsi="Calibri" w:cs="Calibri"/>
          <w:sz w:val="18"/>
          <w:lang w:val="en-GB"/>
        </w:rPr>
        <w:t xml:space="preserve">in head and neck cancers. </w:t>
      </w:r>
      <w:hyperlink r:id="rId9" w:history="1">
        <w:r w:rsidRPr="004D2BB1">
          <w:rPr>
            <w:rStyle w:val="Hyperlink"/>
            <w:rFonts w:ascii="Calibri" w:eastAsia="Calibri" w:hAnsi="Calibri" w:cs="Calibri"/>
            <w:sz w:val="18"/>
            <w:lang w:val="en-GB"/>
          </w:rPr>
          <w:t>https://doi.org/10.1016/j.oraloncology.2020.104977</w:t>
        </w:r>
      </w:hyperlink>
      <w:r>
        <w:rPr>
          <w:rFonts w:ascii="Calibri" w:eastAsia="Calibri" w:hAnsi="Calibri" w:cs="Calibri"/>
          <w:sz w:val="18"/>
          <w:lang w:val="en-GB"/>
        </w:rPr>
        <w:t xml:space="preserve"> </w:t>
      </w:r>
      <w:r w:rsidRPr="004D2BB1">
        <w:rPr>
          <w:rFonts w:ascii="Calibri" w:eastAsia="Calibri" w:hAnsi="Calibri" w:cs="Calibri"/>
          <w:b/>
          <w:bCs/>
          <w:sz w:val="18"/>
          <w:lang w:val="en-GB"/>
        </w:rPr>
        <w:t xml:space="preserve">Attia M. </w:t>
      </w:r>
      <w:proofErr w:type="spellStart"/>
      <w:r w:rsidRPr="004D2BB1">
        <w:rPr>
          <w:rFonts w:ascii="Calibri" w:eastAsia="Calibri" w:hAnsi="Calibri" w:cs="Calibri"/>
          <w:b/>
          <w:bCs/>
          <w:sz w:val="18"/>
          <w:lang w:val="en-GB"/>
        </w:rPr>
        <w:t>Elbehi</w:t>
      </w:r>
      <w:proofErr w:type="spellEnd"/>
      <w:r w:rsidRPr="004D2BB1">
        <w:rPr>
          <w:rFonts w:ascii="Calibri" w:eastAsia="Calibri" w:hAnsi="Calibri" w:cs="Calibri"/>
          <w:b/>
          <w:bCs/>
          <w:sz w:val="18"/>
          <w:lang w:val="en-GB"/>
        </w:rPr>
        <w:t xml:space="preserve">, R.I. </w:t>
      </w:r>
      <w:proofErr w:type="spellStart"/>
      <w:r w:rsidRPr="004D2BB1">
        <w:rPr>
          <w:rFonts w:ascii="Calibri" w:eastAsia="Calibri" w:hAnsi="Calibri" w:cs="Calibri"/>
          <w:b/>
          <w:bCs/>
          <w:sz w:val="18"/>
          <w:lang w:val="en-GB"/>
        </w:rPr>
        <w:t>Anub</w:t>
      </w:r>
      <w:proofErr w:type="spellEnd"/>
      <w:r w:rsidRPr="004D2BB1">
        <w:rPr>
          <w:rFonts w:ascii="Calibri" w:eastAsia="Calibri" w:hAnsi="Calibri" w:cs="Calibri"/>
          <w:b/>
          <w:bCs/>
          <w:sz w:val="18"/>
          <w:lang w:val="en-GB"/>
        </w:rPr>
        <w:t>, Bene Ekine-Afolabi, Elizabeth Cash</w:t>
      </w:r>
    </w:p>
    <w:p w14:paraId="26FAD9F5" w14:textId="77777777" w:rsidR="004D2BB1" w:rsidRPr="004D2BB1" w:rsidRDefault="004D2BB1" w:rsidP="004D2BB1">
      <w:pPr>
        <w:tabs>
          <w:tab w:val="left" w:pos="384"/>
        </w:tabs>
        <w:ind w:right="117"/>
        <w:jc w:val="both"/>
        <w:rPr>
          <w:rFonts w:ascii="Calibri" w:eastAsia="Calibri" w:hAnsi="Calibri" w:cs="Calibri"/>
          <w:b/>
          <w:bCs/>
          <w:sz w:val="18"/>
          <w:lang w:val="en-GB"/>
        </w:rPr>
      </w:pPr>
    </w:p>
    <w:p w14:paraId="0088512B" w14:textId="77777777" w:rsidR="004D2BB1" w:rsidRPr="004D2BB1" w:rsidRDefault="004D2BB1" w:rsidP="004D2BB1">
      <w:pPr>
        <w:numPr>
          <w:ilvl w:val="0"/>
          <w:numId w:val="4"/>
        </w:numPr>
        <w:tabs>
          <w:tab w:val="left" w:pos="384"/>
        </w:tabs>
        <w:ind w:right="117"/>
        <w:jc w:val="both"/>
        <w:rPr>
          <w:rFonts w:ascii="Calibri" w:eastAsia="Calibri" w:hAnsi="Calibri" w:cs="Calibri"/>
          <w:i/>
          <w:sz w:val="18"/>
          <w:lang w:val="en-IN"/>
        </w:rPr>
      </w:pPr>
      <w:r w:rsidRPr="004D2BB1">
        <w:rPr>
          <w:rFonts w:ascii="Calibri" w:eastAsia="Calibri" w:hAnsi="Calibri" w:cs="Calibri"/>
          <w:bCs/>
          <w:sz w:val="18"/>
        </w:rPr>
        <w:t>The</w:t>
      </w:r>
      <w:r w:rsidRPr="004D2BB1">
        <w:rPr>
          <w:rFonts w:ascii="Calibri" w:eastAsia="Calibri" w:hAnsi="Calibri" w:cs="Calibri"/>
          <w:b/>
          <w:sz w:val="18"/>
        </w:rPr>
        <w:t xml:space="preserve"> </w:t>
      </w:r>
      <w:r w:rsidRPr="004D2BB1">
        <w:rPr>
          <w:rFonts w:ascii="Calibri" w:eastAsia="Calibri" w:hAnsi="Calibri" w:cs="Calibri"/>
          <w:sz w:val="18"/>
          <w:lang w:val="en-IN"/>
        </w:rPr>
        <w:t>role of the circadian clock in cancer hallmark acquisition and immune-based cancer therapeutics.</w:t>
      </w:r>
      <w:r w:rsidRPr="004D2BB1">
        <w:rPr>
          <w:rFonts w:ascii="Calibri" w:eastAsia="Calibri" w:hAnsi="Calibri" w:cs="Calibri"/>
          <w:i/>
          <w:sz w:val="18"/>
          <w:lang w:val="en-IN"/>
        </w:rPr>
        <w:t xml:space="preserve"> Journal of Experimental and Clinical Cancer Research</w:t>
      </w:r>
      <w:r w:rsidRPr="004D2BB1">
        <w:rPr>
          <w:rFonts w:ascii="Calibri" w:eastAsia="Calibri" w:hAnsi="Calibri" w:cs="Calibri"/>
          <w:sz w:val="18"/>
          <w:lang w:val="en-IN"/>
        </w:rPr>
        <w:t xml:space="preserve"> (2021) 40:119 https://doi.org/10.1186/s13046-021-01919-5 Elizabeth Cash, Sandra </w:t>
      </w:r>
      <w:proofErr w:type="spellStart"/>
      <w:r w:rsidRPr="004D2BB1">
        <w:rPr>
          <w:rFonts w:ascii="Calibri" w:eastAsia="Calibri" w:hAnsi="Calibri" w:cs="Calibri"/>
          <w:sz w:val="18"/>
          <w:lang w:val="en-IN"/>
        </w:rPr>
        <w:t>Sephton</w:t>
      </w:r>
      <w:proofErr w:type="spellEnd"/>
      <w:r w:rsidRPr="004D2BB1">
        <w:rPr>
          <w:rFonts w:ascii="Calibri" w:eastAsia="Calibri" w:hAnsi="Calibri" w:cs="Calibri"/>
          <w:sz w:val="18"/>
          <w:lang w:val="en-IN"/>
        </w:rPr>
        <w:t xml:space="preserve">, Cassandra Woolley, Attia M. </w:t>
      </w:r>
      <w:proofErr w:type="spellStart"/>
      <w:r w:rsidRPr="004D2BB1">
        <w:rPr>
          <w:rFonts w:ascii="Calibri" w:eastAsia="Calibri" w:hAnsi="Calibri" w:cs="Calibri"/>
          <w:sz w:val="18"/>
          <w:lang w:val="en-IN"/>
        </w:rPr>
        <w:t>Elbehi</w:t>
      </w:r>
      <w:proofErr w:type="spellEnd"/>
      <w:r w:rsidRPr="004D2BB1">
        <w:rPr>
          <w:rFonts w:ascii="Calibri" w:eastAsia="Calibri" w:hAnsi="Calibri" w:cs="Calibri"/>
          <w:sz w:val="18"/>
          <w:lang w:val="en-IN"/>
        </w:rPr>
        <w:t xml:space="preserve">, Anu R. I., Bene Ekine-Afolabi, and Victor C. </w:t>
      </w:r>
      <w:proofErr w:type="spellStart"/>
      <w:r w:rsidRPr="004D2BB1">
        <w:rPr>
          <w:rFonts w:ascii="Calibri" w:eastAsia="Calibri" w:hAnsi="Calibri" w:cs="Calibri"/>
          <w:sz w:val="18"/>
          <w:lang w:val="en-IN"/>
        </w:rPr>
        <w:t>Kok</w:t>
      </w:r>
      <w:proofErr w:type="spellEnd"/>
    </w:p>
    <w:p w14:paraId="6D443EAB"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E25286C" w14:textId="77777777" w:rsidR="00AE3E37" w:rsidRDefault="00AE3E37">
      <w:pPr>
        <w:pStyle w:val="BodyText"/>
        <w:rPr>
          <w:rFonts w:ascii="Calibri"/>
          <w:sz w:val="20"/>
        </w:rPr>
      </w:pPr>
    </w:p>
    <w:p w14:paraId="228C97D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25046DD" wp14:editId="4CBB4E4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26F62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6A90C03" w14:textId="0650279E"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48B7946C" wp14:editId="53B4A36A">
                <wp:simplePos x="0" y="0"/>
                <wp:positionH relativeFrom="column">
                  <wp:posOffset>5655945</wp:posOffset>
                </wp:positionH>
                <wp:positionV relativeFrom="paragraph">
                  <wp:posOffset>56515</wp:posOffset>
                </wp:positionV>
                <wp:extent cx="1012190" cy="570230"/>
                <wp:effectExtent l="0" t="0" r="0" b="12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no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13091A6" w14:textId="0391B69F" w:rsidR="00A52075" w:rsidRDefault="00036394" w:rsidP="00A52075">
                            <w:pPr>
                              <w:rPr>
                                <w:b/>
                                <w:color w:val="0000FF"/>
                                <w:lang w:val="en-IN"/>
                              </w:rPr>
                            </w:pPr>
                            <w:r>
                              <w:rPr>
                                <w:noProof/>
                              </w:rPr>
                              <w:drawing>
                                <wp:inline distT="0" distB="0" distL="0" distR="0" wp14:anchorId="65A4EDE0" wp14:editId="02AA5B5E">
                                  <wp:extent cx="684530" cy="391160"/>
                                  <wp:effectExtent l="0" t="0" r="1270" b="889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4530" cy="391160"/>
                                          </a:xfrm>
                                          <a:prstGeom prst="rect">
                                            <a:avLst/>
                                          </a:prstGeom>
                                          <a:noFill/>
                                          <a:ln>
                                            <a:noFill/>
                                          </a:ln>
                                        </pic:spPr>
                                      </pic:pic>
                                    </a:graphicData>
                                  </a:graphic>
                                </wp:inline>
                              </w:drawing>
                            </w:r>
                            <w:proofErr w:type="spellStart"/>
                            <w:r w:rsidR="00A52075">
                              <w:rPr>
                                <w:b/>
                                <w:color w:val="0000FF"/>
                                <w:lang w:val="en-IN"/>
                              </w:rPr>
                              <w:t>te</w:t>
                            </w:r>
                            <w:proofErr w:type="spellEnd"/>
                            <w:r w:rsidR="00A52075">
                              <w:rPr>
                                <w:b/>
                                <w:color w:val="0000FF"/>
                                <w:lang w:val="en-IN"/>
                              </w:rPr>
                              <w:t xml:space="preserv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B7946C" id="Rounded Rectangle 2" o:spid="_x0000_s1027"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" stroked="f" strokeweight="2.5pt">
                <v:shadow color="#868686"/>
                <v:textbox>
                  <w:txbxContent>
                    <w:p w14:paraId="713091A6" w14:textId="0391B69F" w:rsidR="00A52075" w:rsidRDefault="00036394" w:rsidP="00A52075">
                      <w:pPr>
                        <w:rPr>
                          <w:b/>
                          <w:color w:val="0000FF"/>
                          <w:lang w:val="en-IN"/>
                        </w:rPr>
                      </w:pPr>
                      <w:r>
                        <w:rPr>
                          <w:noProof/>
                        </w:rPr>
                        <w:drawing>
                          <wp:inline distT="0" distB="0" distL="0" distR="0" wp14:anchorId="65A4EDE0" wp14:editId="02AA5B5E">
                            <wp:extent cx="684530" cy="391160"/>
                            <wp:effectExtent l="0" t="0" r="1270" b="889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4530" cy="391160"/>
                                    </a:xfrm>
                                    <a:prstGeom prst="rect">
                                      <a:avLst/>
                                    </a:prstGeom>
                                    <a:noFill/>
                                    <a:ln>
                                      <a:noFill/>
                                    </a:ln>
                                  </pic:spPr>
                                </pic:pic>
                              </a:graphicData>
                            </a:graphic>
                          </wp:inline>
                        </w:drawing>
                      </w:r>
                      <w:proofErr w:type="spellStart"/>
                      <w:r w:rsidR="00A52075">
                        <w:rPr>
                          <w:b/>
                          <w:color w:val="0000FF"/>
                          <w:lang w:val="en-IN"/>
                        </w:rPr>
                        <w:t>te</w:t>
                      </w:r>
                      <w:proofErr w:type="spellEnd"/>
                      <w:r w:rsidR="00A52075">
                        <w:rPr>
                          <w:b/>
                          <w:color w:val="0000FF"/>
                          <w:lang w:val="en-IN"/>
                        </w:rPr>
                        <w:t xml:space="preserve"> your Logo here</w:t>
                      </w:r>
                    </w:p>
                  </w:txbxContent>
                </v:textbox>
              </v:roundrect>
            </w:pict>
          </mc:Fallback>
        </mc:AlternateContent>
      </w:r>
      <w:r w:rsidR="008756E6">
        <w:rPr>
          <w:noProof/>
        </w:rPr>
        <w:t xml:space="preserve">              </w:t>
      </w:r>
      <w:r w:rsidR="004D2BB1">
        <w:rPr>
          <w:noProof/>
        </w:rPr>
        <w:drawing>
          <wp:inline distT="0" distB="0" distL="0" distR="0" wp14:anchorId="39B39C00" wp14:editId="496EA7E9">
            <wp:extent cx="891340" cy="937260"/>
            <wp:effectExtent l="0" t="0" r="4445" b="0"/>
            <wp:docPr id="3" name="Picture 3" descr="A person wearing headpho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headphones&#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flipV="1">
                      <a:off x="0" y="0"/>
                      <a:ext cx="908479" cy="955282"/>
                    </a:xfrm>
                    <a:prstGeom prst="rect">
                      <a:avLst/>
                    </a:prstGeom>
                    <a:noFill/>
                    <a:ln>
                      <a:noFill/>
                    </a:ln>
                  </pic:spPr>
                </pic:pic>
              </a:graphicData>
            </a:graphic>
          </wp:inline>
        </w:drawing>
      </w:r>
      <w:r w:rsidR="00036394">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6B7FB6D9" w14:textId="77777777" w:rsidR="00036394" w:rsidRPr="00036394" w:rsidRDefault="00036394" w:rsidP="00036394">
      <w:pPr>
        <w:spacing w:line="360" w:lineRule="auto"/>
        <w:jc w:val="both"/>
        <w:rPr>
          <w:rFonts w:ascii="Arial" w:hAnsi="Arial" w:cs="Arial"/>
          <w:color w:val="555555"/>
          <w:sz w:val="14"/>
          <w:szCs w:val="14"/>
        </w:rPr>
      </w:pPr>
      <w:r w:rsidRPr="00036394">
        <w:rPr>
          <w:rFonts w:ascii="Arial" w:hAnsi="Arial" w:cs="Arial"/>
          <w:color w:val="555555"/>
          <w:sz w:val="14"/>
          <w:szCs w:val="14"/>
        </w:rPr>
        <w:t xml:space="preserve">Bene Ekine-Afolabi is a graduate of River State University of Science &amp; Technology in Applied Biology (Medical Microbiology option); with an </w:t>
      </w:r>
      <w:proofErr w:type="spellStart"/>
      <w:r w:rsidRPr="00036394">
        <w:rPr>
          <w:rFonts w:ascii="Arial" w:hAnsi="Arial" w:cs="Arial"/>
          <w:color w:val="555555"/>
          <w:sz w:val="14"/>
          <w:szCs w:val="14"/>
        </w:rPr>
        <w:t>MRes</w:t>
      </w:r>
      <w:proofErr w:type="spellEnd"/>
      <w:r w:rsidRPr="00036394">
        <w:rPr>
          <w:rFonts w:ascii="Arial" w:hAnsi="Arial" w:cs="Arial"/>
          <w:color w:val="555555"/>
          <w:sz w:val="14"/>
          <w:szCs w:val="14"/>
        </w:rPr>
        <w:t xml:space="preserve"> degree at University of East London, United Kingdom.</w:t>
      </w:r>
    </w:p>
    <w:p w14:paraId="1D969B65" w14:textId="77777777" w:rsidR="00036394" w:rsidRPr="00036394" w:rsidRDefault="00036394" w:rsidP="00036394">
      <w:pPr>
        <w:spacing w:line="360" w:lineRule="auto"/>
        <w:jc w:val="both"/>
        <w:rPr>
          <w:rFonts w:ascii="Arial" w:hAnsi="Arial" w:cs="Arial"/>
          <w:sz w:val="14"/>
          <w:szCs w:val="14"/>
        </w:rPr>
      </w:pPr>
      <w:r w:rsidRPr="00036394">
        <w:rPr>
          <w:rFonts w:ascii="Arial" w:hAnsi="Arial" w:cs="Arial"/>
          <w:color w:val="555555"/>
          <w:sz w:val="14"/>
          <w:szCs w:val="14"/>
        </w:rPr>
        <w:t xml:space="preserve">She had her PhD. study &amp; worked at the Department of Natural Sciences, Middlesex University, UK. Trained in practical approach to toxicology in drug development (American College of Toxicology/British Toxicology Society). Bene does research in Microbiology, Molecular Biology and Cancer: Her current focus of research (which has yielded eight designed models), is on the Investigation of molecular mechanism of colorectal cancer and due to the current pandemic, has been involved in drug development for COVID-19. Bene had Harvard University part-sponsored training in therapeutic research in Cancer Biology &amp; Therapeutic. Bene has been involved in three published peer reviewed article, two manuscript awaiting publication, among which one is on COVID-19 and was submitted to the Chief Medical Officer of United Kingdom to assist in response to the pandemic. </w:t>
      </w:r>
    </w:p>
    <w:p w14:paraId="1B8E5041" w14:textId="77777777" w:rsidR="00B65F76" w:rsidRDefault="00B65F76" w:rsidP="00B65F76">
      <w:pPr>
        <w:jc w:val="center"/>
        <w:rPr>
          <w:rFonts w:ascii="Arial" w:hAnsi="Arial" w:cs="Arial"/>
          <w:b/>
          <w:color w:val="00B050"/>
        </w:rPr>
      </w:pPr>
    </w:p>
    <w:p w14:paraId="3DA99C83" w14:textId="77DE42B5" w:rsidR="00B65F76" w:rsidRPr="00B926AF" w:rsidRDefault="00B65F76" w:rsidP="00B65F76">
      <w:pPr>
        <w:jc w:val="center"/>
        <w:rPr>
          <w:rFonts w:ascii="Arial" w:hAnsi="Arial" w:cs="Arial"/>
          <w:b/>
          <w:sz w:val="24"/>
          <w:u w:val="single"/>
        </w:rPr>
      </w:pPr>
      <w:r w:rsidRPr="00B926AF">
        <w:rPr>
          <w:rFonts w:ascii="Arial" w:hAnsi="Arial" w:cs="Arial"/>
          <w:b/>
          <w:sz w:val="24"/>
          <w:u w:val="single"/>
        </w:rPr>
        <w:t xml:space="preserve">Presenting Author Details </w:t>
      </w:r>
    </w:p>
    <w:p w14:paraId="2EE631B2" w14:textId="0099E10E" w:rsidR="00B65F76" w:rsidRDefault="00B65F76" w:rsidP="00B65F76">
      <w:pPr>
        <w:rPr>
          <w:rFonts w:ascii="Arial" w:hAnsi="Arial" w:cs="Arial"/>
          <w:b/>
        </w:rPr>
      </w:pPr>
      <w:r w:rsidRPr="00B926AF">
        <w:rPr>
          <w:rFonts w:ascii="Arial" w:hAnsi="Arial" w:cs="Arial"/>
          <w:b/>
          <w:i/>
        </w:rPr>
        <w:t>Full Name:</w:t>
      </w:r>
      <w:r w:rsidRPr="0000603B">
        <w:rPr>
          <w:rFonts w:ascii="Arial" w:hAnsi="Arial" w:cs="Arial"/>
          <w:bCs/>
          <w:sz w:val="24"/>
        </w:rPr>
        <w:t xml:space="preserve"> Dr Bene Ekine-Afolabi</w:t>
      </w:r>
      <w:r w:rsidRPr="00B926AF">
        <w:rPr>
          <w:rFonts w:ascii="Arial" w:hAnsi="Arial" w:cs="Arial"/>
          <w:b/>
          <w:i/>
        </w:rPr>
        <w:br/>
        <w:t>Email ID:</w:t>
      </w:r>
      <w:r>
        <w:rPr>
          <w:rFonts w:ascii="Arial" w:hAnsi="Arial" w:cs="Arial"/>
          <w:b/>
          <w:i/>
        </w:rPr>
        <w:t xml:space="preserve"> dcr@zeabtherapeutic.com</w:t>
      </w:r>
      <w:r w:rsidRPr="00B926AF">
        <w:rPr>
          <w:rFonts w:ascii="Arial" w:hAnsi="Arial" w:cs="Arial"/>
          <w:b/>
          <w:i/>
        </w:rPr>
        <w:br/>
      </w:r>
      <w:r>
        <w:rPr>
          <w:rFonts w:ascii="Arial" w:hAnsi="Arial" w:cs="Arial"/>
          <w:b/>
          <w:i/>
        </w:rPr>
        <w:t>Phone No: +447581221509</w:t>
      </w:r>
      <w:r w:rsidRPr="00B926AF">
        <w:rPr>
          <w:rFonts w:ascii="Arial" w:hAnsi="Arial" w:cs="Arial"/>
          <w:b/>
          <w:i/>
        </w:rPr>
        <w:br/>
      </w:r>
    </w:p>
    <w:p w14:paraId="2F2D6BA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091E462" wp14:editId="17F350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CD39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B2D801A" w14:textId="77777777" w:rsidR="00AE3E37" w:rsidRPr="00B21A57" w:rsidRDefault="00A9710C">
      <w:pPr>
        <w:spacing w:before="39"/>
        <w:ind w:left="100"/>
        <w:rPr>
          <w:rFonts w:ascii="Minion Pro"/>
          <w:b/>
          <w:sz w:val="20"/>
        </w:rPr>
      </w:pPr>
      <w:r w:rsidRPr="00B21A57">
        <w:rPr>
          <w:rFonts w:ascii="Minion Pro"/>
          <w:b/>
          <w:sz w:val="20"/>
        </w:rPr>
        <w:t>Notes/Comments:</w:t>
      </w:r>
    </w:p>
    <w:p w14:paraId="3BE96E5F" w14:textId="77777777" w:rsidR="00AE3E37" w:rsidRDefault="00B65F76">
      <w:pPr>
        <w:rPr>
          <w:rFonts w:ascii="Minion Pro"/>
          <w:sz w:val="24"/>
        </w:rPr>
      </w:pPr>
      <w:r>
        <w:rPr>
          <w:rFonts w:ascii="Minion Pro"/>
          <w:sz w:val="24"/>
        </w:rPr>
        <w:t>Oral Presentation is preferred</w:t>
      </w:r>
    </w:p>
    <w:p w14:paraId="692EC755" w14:textId="77777777" w:rsidR="00B65F76" w:rsidRDefault="00B65F76">
      <w:pPr>
        <w:rPr>
          <w:rFonts w:ascii="Minion Pro"/>
          <w:sz w:val="24"/>
        </w:rPr>
      </w:pPr>
    </w:p>
    <w:p w14:paraId="7B983B89" w14:textId="053BFB92" w:rsidR="00B65F76" w:rsidRDefault="00B65F76">
      <w:pPr>
        <w:rPr>
          <w:rFonts w:ascii="Minion Pro"/>
          <w:sz w:val="24"/>
        </w:rPr>
        <w:sectPr w:rsidR="00B65F76" w:rsidSect="008E5477">
          <w:type w:val="continuous"/>
          <w:pgSz w:w="11910" w:h="16840"/>
          <w:pgMar w:top="995" w:right="600" w:bottom="840" w:left="620" w:header="720" w:footer="720" w:gutter="0"/>
          <w:cols w:space="720"/>
        </w:sectPr>
      </w:pPr>
    </w:p>
    <w:p w14:paraId="1A3102AA" w14:textId="77777777" w:rsidR="00F046EA" w:rsidRPr="0013708E" w:rsidRDefault="00F046EA" w:rsidP="00F046EA">
      <w:pPr>
        <w:jc w:val="both"/>
        <w:rPr>
          <w:b/>
        </w:rPr>
      </w:pPr>
      <w:r w:rsidRPr="0013708E">
        <w:rPr>
          <w:b/>
        </w:rPr>
        <w:lastRenderedPageBreak/>
        <w:t xml:space="preserve">Presenting author details </w:t>
      </w:r>
    </w:p>
    <w:p w14:paraId="653FEC07" w14:textId="77777777" w:rsidR="00F046EA" w:rsidRPr="0013708E" w:rsidRDefault="00F046EA" w:rsidP="00F046EA">
      <w:pPr>
        <w:jc w:val="both"/>
      </w:pPr>
      <w:r w:rsidRPr="0013708E">
        <w:t xml:space="preserve">Full name: </w:t>
      </w:r>
    </w:p>
    <w:p w14:paraId="604EB231" w14:textId="77777777" w:rsidR="00F046EA" w:rsidRDefault="00F046EA" w:rsidP="00F046EA">
      <w:pPr>
        <w:jc w:val="both"/>
      </w:pPr>
      <w:r w:rsidRPr="0013708E">
        <w:t>Contact number:</w:t>
      </w:r>
    </w:p>
    <w:p w14:paraId="4616DFFC" w14:textId="77777777" w:rsidR="00F046EA" w:rsidRPr="0013708E" w:rsidRDefault="00F046EA" w:rsidP="00F046EA">
      <w:pPr>
        <w:jc w:val="both"/>
      </w:pPr>
      <w:r>
        <w:t xml:space="preserve">Mail id: </w:t>
      </w:r>
    </w:p>
    <w:p w14:paraId="769BACBF" w14:textId="77777777" w:rsidR="00AE3E37" w:rsidRDefault="00F046EA" w:rsidP="00017FD0">
      <w:pPr>
        <w:jc w:val="both"/>
        <w:rPr>
          <w:rFonts w:ascii="Minion Pro"/>
          <w:sz w:val="26"/>
        </w:rPr>
      </w:pPr>
      <w:r w:rsidRPr="0013708E">
        <w:t>Category: (Oral presentation/ Poster presentation)</w:t>
      </w:r>
      <w:r>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1BCEC" w14:textId="77777777" w:rsidR="00CE0E21" w:rsidRDefault="00CE0E21">
      <w:r>
        <w:separator/>
      </w:r>
    </w:p>
  </w:endnote>
  <w:endnote w:type="continuationSeparator" w:id="0">
    <w:p w14:paraId="19A965AD" w14:textId="77777777" w:rsidR="00CE0E21" w:rsidRDefault="00CE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8539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9FDF7CF" wp14:editId="0F1887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08B3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2916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FDF7C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27408B3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2916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B0BA3A3" wp14:editId="4891780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05A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14DD3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BA3A3" 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6A805A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14DD3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B7BB1B" wp14:editId="1691C49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2F1B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009F9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7BB1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7502F1B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009F9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AA07B" w14:textId="77777777" w:rsidR="00CE0E21" w:rsidRDefault="00CE0E21">
      <w:r>
        <w:separator/>
      </w:r>
    </w:p>
  </w:footnote>
  <w:footnote w:type="continuationSeparator" w:id="0">
    <w:p w14:paraId="7A9A3331" w14:textId="77777777" w:rsidR="00CE0E21" w:rsidRDefault="00CE0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0FE1BA2"/>
    <w:multiLevelType w:val="hybridMultilevel"/>
    <w:tmpl w:val="3B0C91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D0"/>
    <w:rsid w:val="00036394"/>
    <w:rsid w:val="000E2911"/>
    <w:rsid w:val="001263DF"/>
    <w:rsid w:val="00292ED9"/>
    <w:rsid w:val="00351D9B"/>
    <w:rsid w:val="00380299"/>
    <w:rsid w:val="00404E5B"/>
    <w:rsid w:val="00414F7B"/>
    <w:rsid w:val="004355DC"/>
    <w:rsid w:val="004749B4"/>
    <w:rsid w:val="00494130"/>
    <w:rsid w:val="004D2BB1"/>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B65F76"/>
    <w:rsid w:val="00C33602"/>
    <w:rsid w:val="00C56C74"/>
    <w:rsid w:val="00CD6F55"/>
    <w:rsid w:val="00CE0E21"/>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777ACF"/>
  <w15:docId w15:val="{C606651C-A919-45DE-A017-6EFAA2AB1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D2B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doi.org/10.1016/j.oraloncology.2020.104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677</Words>
  <Characters>3787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Bene Afolabi</cp:lastModifiedBy>
  <cp:revision>2</cp:revision>
  <dcterms:created xsi:type="dcterms:W3CDTF">2021-09-23T22:21:00Z</dcterms:created>
  <dcterms:modified xsi:type="dcterms:W3CDTF">2021-09-23T22:21:00Z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