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3E37">
      <w:pPr>
        <w:pStyle w:val="BodyText"/>
        <w:rPr>
          <w:rFonts w:ascii="Arial"/>
          <w:sz w:val="20"/>
        </w:rPr>
      </w:pPr>
    </w:p>
    <w:p w:rsidR="002913B0" w:rsidRPr="002913B0" w:rsidRDefault="002913B0" w:rsidP="002913B0">
      <w:pPr>
        <w:overflowPunct w:val="0"/>
        <w:autoSpaceDE w:val="0"/>
        <w:autoSpaceDN w:val="0"/>
        <w:adjustRightInd w:val="0"/>
        <w:jc w:val="both"/>
        <w:rPr>
          <w:rFonts w:ascii="Times New Roman" w:eastAsiaTheme="minorEastAsia" w:hAnsi="Times New Roman" w:cs="Times New Roman"/>
          <w:b/>
          <w:bCs/>
          <w:sz w:val="28"/>
          <w:szCs w:val="28"/>
        </w:rPr>
      </w:pPr>
      <w:r w:rsidRPr="002913B0">
        <w:rPr>
          <w:rFonts w:ascii="Times New Roman" w:eastAsiaTheme="minorEastAsia" w:hAnsi="Times New Roman" w:cs="Times New Roman"/>
          <w:b/>
          <w:bCs/>
          <w:sz w:val="28"/>
          <w:szCs w:val="28"/>
        </w:rPr>
        <w:t>Oral health and dental treatment for people with dementia</w:t>
      </w:r>
    </w:p>
    <w:p w:rsidR="002913B0" w:rsidRPr="002913B0" w:rsidRDefault="002913B0" w:rsidP="002913B0">
      <w:pPr>
        <w:overflowPunct w:val="0"/>
        <w:autoSpaceDE w:val="0"/>
        <w:autoSpaceDN w:val="0"/>
        <w:adjustRightInd w:val="0"/>
        <w:jc w:val="both"/>
        <w:rPr>
          <w:rFonts w:ascii="Times New Roman" w:eastAsiaTheme="minorEastAsia" w:hAnsi="Times New Roman" w:cs="Times New Roman"/>
          <w:b/>
          <w:bCs/>
          <w:sz w:val="28"/>
          <w:szCs w:val="28"/>
        </w:rPr>
      </w:pPr>
    </w:p>
    <w:p w:rsidR="002913B0" w:rsidRPr="002913B0" w:rsidRDefault="002913B0" w:rsidP="002913B0">
      <w:pPr>
        <w:overflowPunct w:val="0"/>
        <w:autoSpaceDE w:val="0"/>
        <w:autoSpaceDN w:val="0"/>
        <w:adjustRightInd w:val="0"/>
        <w:jc w:val="center"/>
        <w:rPr>
          <w:rFonts w:ascii="Times New Roman" w:eastAsiaTheme="minorEastAsia" w:hAnsi="Times New Roman" w:cs="Times New Roman"/>
          <w:b/>
          <w:bCs/>
          <w:sz w:val="28"/>
          <w:szCs w:val="28"/>
        </w:rPr>
      </w:pPr>
      <w:r w:rsidRPr="002913B0">
        <w:rPr>
          <w:rFonts w:ascii="Times New Roman" w:eastAsiaTheme="minorEastAsia" w:hAnsi="Times New Roman" w:cs="Times New Roman"/>
          <w:b/>
          <w:bCs/>
          <w:sz w:val="28"/>
          <w:szCs w:val="28"/>
        </w:rPr>
        <w:t>Author and Presenter</w:t>
      </w:r>
    </w:p>
    <w:p w:rsidR="002913B0" w:rsidRPr="002913B0" w:rsidRDefault="002913B0" w:rsidP="002913B0">
      <w:pPr>
        <w:overflowPunct w:val="0"/>
        <w:autoSpaceDE w:val="0"/>
        <w:autoSpaceDN w:val="0"/>
        <w:adjustRightInd w:val="0"/>
        <w:ind w:left="720"/>
        <w:jc w:val="both"/>
        <w:rPr>
          <w:rFonts w:ascii="Calibri" w:eastAsiaTheme="minorEastAsia" w:hAnsi="Calibri" w:cs="Calibri"/>
          <w:b/>
          <w:bCs/>
          <w:sz w:val="28"/>
          <w:szCs w:val="28"/>
        </w:rPr>
      </w:pPr>
      <w:r w:rsidRPr="002913B0">
        <w:rPr>
          <w:rFonts w:ascii="Calibri" w:eastAsiaTheme="minorEastAsia" w:hAnsi="Calibri" w:cs="Calibri"/>
          <w:bCs/>
          <w:sz w:val="28"/>
          <w:szCs w:val="28"/>
        </w:rPr>
        <w:t>Dr.Alexander Schembri B.Ch.D(Hons),Dip.Ger,M.Ger,FICD</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BodyText"/>
        <w:spacing w:before="90" w:line="280" w:lineRule="auto"/>
        <w:ind w:left="100"/>
        <w:jc w:val="both"/>
      </w:pPr>
      <w:r>
        <w:lastRenderedPageBreak/>
        <w:t>.</w:t>
      </w:r>
    </w:p>
    <w:p w:rsidR="002913B0" w:rsidRPr="002913B0" w:rsidRDefault="002913B0" w:rsidP="002913B0">
      <w:pPr>
        <w:overflowPunct w:val="0"/>
        <w:autoSpaceDE w:val="0"/>
        <w:autoSpaceDN w:val="0"/>
        <w:adjustRightInd w:val="0"/>
        <w:rPr>
          <w:rFonts w:ascii="Times New Roman" w:eastAsiaTheme="minorEastAsia" w:hAnsi="Times New Roman" w:cs="Times New Roman"/>
          <w:lang w:val="en-AU"/>
        </w:rPr>
      </w:pPr>
      <w:r w:rsidRPr="002913B0">
        <w:rPr>
          <w:rFonts w:ascii="Times New Roman" w:eastAsiaTheme="minorEastAsia" w:hAnsi="Times New Roman" w:cs="Times New Roman"/>
          <w:b/>
          <w:bCs/>
          <w:sz w:val="28"/>
          <w:szCs w:val="28"/>
        </w:rPr>
        <w:t>Abstract:</w:t>
      </w:r>
      <w:r w:rsidRPr="002913B0">
        <w:rPr>
          <w:rFonts w:ascii="Times New Roman" w:eastAsiaTheme="minorEastAsia" w:hAnsi="Times New Roman" w:cs="Times New Roman"/>
          <w:lang w:val="en-AU"/>
        </w:rPr>
        <w:t xml:space="preserve"> </w:t>
      </w:r>
    </w:p>
    <w:p w:rsidR="00AE3E37" w:rsidRDefault="002913B0" w:rsidP="002913B0">
      <w:pPr>
        <w:pStyle w:val="Heading3"/>
        <w:spacing w:before="74"/>
        <w:rPr>
          <w:b w:val="0"/>
          <w:sz w:val="16"/>
        </w:rPr>
      </w:pPr>
      <w:r w:rsidRPr="002913B0">
        <w:rPr>
          <w:rFonts w:asciiTheme="minorHAnsi" w:eastAsiaTheme="minorEastAsia" w:hAnsiTheme="minorHAnsi" w:cstheme="minorBidi"/>
          <w:b w:val="0"/>
          <w:bCs w:val="0"/>
          <w:sz w:val="22"/>
          <w:szCs w:val="22"/>
        </w:rPr>
        <w:t xml:space="preserve">People with dementia may no longer have or will reach a stage when they no longer have the ability to voice their needs for oral care and treatment, carry out daily oral hygiene to a level that prevents disease, make informed choice and give valid consent for treatment. This may have a negative effect on the oral health of the individual and on the quality of life. Thus to contribute to maintain an acceptable quality of life of persons with dementia, the dental team has the </w:t>
      </w:r>
      <w:r w:rsidRPr="002913B0">
        <w:rPr>
          <w:rFonts w:asciiTheme="minorHAnsi" w:eastAsiaTheme="minorEastAsia" w:hAnsiTheme="minorHAnsi" w:cstheme="minorBidi"/>
          <w:b w:val="0"/>
          <w:bCs w:val="0"/>
          <w:sz w:val="22"/>
          <w:szCs w:val="22"/>
        </w:rPr>
        <w:br/>
        <w:t>specific role to keep them free of</w:t>
      </w:r>
      <w:r w:rsidRPr="002913B0">
        <w:rPr>
          <w:rFonts w:asciiTheme="minorHAnsi" w:eastAsiaTheme="minorEastAsia" w:hAnsiTheme="minorHAnsi" w:cstheme="minorBidi"/>
          <w:b w:val="0"/>
          <w:bCs w:val="0"/>
          <w:sz w:val="22"/>
          <w:szCs w:val="22"/>
        </w:rPr>
        <w:br/>
        <w:t xml:space="preserve">oral infections, restore their dentition so they can enjoy eating, </w:t>
      </w:r>
      <w:r w:rsidRPr="002913B0">
        <w:rPr>
          <w:rFonts w:asciiTheme="minorHAnsi" w:eastAsiaTheme="minorEastAsia" w:hAnsiTheme="minorHAnsi" w:cstheme="minorBidi"/>
          <w:b w:val="0"/>
          <w:bCs w:val="0"/>
          <w:sz w:val="22"/>
          <w:szCs w:val="22"/>
        </w:rPr>
        <w:br/>
        <w:t>maintain speech and aesthetics as long as possible.</w:t>
      </w:r>
      <w:r w:rsidRPr="002913B0">
        <w:rPr>
          <w:rFonts w:ascii="Times New Roman" w:eastAsiaTheme="minorEastAsia" w:hAnsi="Times New Roman" w:cs="Times New Roman"/>
          <w:b w:val="0"/>
          <w:bCs w:val="0"/>
          <w:sz w:val="22"/>
          <w:szCs w:val="22"/>
          <w:lang w:val="en-AU"/>
        </w:rPr>
        <w:t>) With the Covid 19 pandemic the specific needs of these persons was further highlighted</w:t>
      </w:r>
      <w:r w:rsidR="00A9710C">
        <w:rPr>
          <w:b w:val="0"/>
        </w:rPr>
        <w:br w:type="column"/>
      </w:r>
      <w:r>
        <w:rPr>
          <w:b w:val="0"/>
          <w:sz w:val="16"/>
        </w:rPr>
        <w:lastRenderedPageBreak/>
        <w:t xml:space="preserve"> </w:t>
      </w:r>
    </w:p>
    <w:p w:rsidR="002913B0" w:rsidRDefault="005973B9" w:rsidP="002913B0">
      <w:pPr>
        <w:pStyle w:val="ListParagraph"/>
        <w:numPr>
          <w:ilvl w:val="0"/>
          <w:numId w:val="3"/>
        </w:numPr>
        <w:tabs>
          <w:tab w:val="left" w:pos="384"/>
        </w:tabs>
        <w:spacing w:before="103" w:line="216" w:lineRule="exact"/>
        <w:ind w:right="138" w:hanging="283"/>
        <w:rPr>
          <w:sz w:val="18"/>
        </w:rPr>
      </w:pPr>
      <w:r>
        <w:rPr>
          <w:rFonts w:ascii="Arial"/>
          <w:b/>
          <w:color w:val="BF5A14"/>
          <w:sz w:val="20"/>
        </w:rPr>
        <w:br/>
      </w:r>
      <w:r w:rsidR="002913B0">
        <w:rPr>
          <w:sz w:val="18"/>
        </w:rPr>
        <w:t>Schembri A, Fiske J (2005) Oral health and dental care facilities in Maltese residential homes.  Gerodontology 2005:22; 143-150</w:t>
      </w:r>
    </w:p>
    <w:p w:rsidR="002913B0" w:rsidRDefault="002913B0" w:rsidP="002913B0">
      <w:pPr>
        <w:pStyle w:val="ListParagraph"/>
        <w:numPr>
          <w:ilvl w:val="0"/>
          <w:numId w:val="3"/>
        </w:numPr>
        <w:tabs>
          <w:tab w:val="left" w:pos="384"/>
        </w:tabs>
        <w:spacing w:line="216" w:lineRule="exact"/>
        <w:ind w:right="137" w:hanging="283"/>
        <w:rPr>
          <w:sz w:val="18"/>
        </w:rPr>
      </w:pPr>
      <w:r>
        <w:rPr>
          <w:sz w:val="18"/>
        </w:rPr>
        <w:t>Schembri A, Fiske J (2001) The implications of visual impairmenr in the elderly population in recognizing oral diseases and maintaining oral health.Special Care in Dentistry 21(6): 222-6</w:t>
      </w:r>
    </w:p>
    <w:p w:rsidR="002913B0" w:rsidRDefault="002913B0" w:rsidP="002913B0">
      <w:pPr>
        <w:pStyle w:val="ListParagraph"/>
        <w:numPr>
          <w:ilvl w:val="0"/>
          <w:numId w:val="3"/>
        </w:numPr>
        <w:tabs>
          <w:tab w:val="left" w:pos="384"/>
        </w:tabs>
        <w:spacing w:line="216" w:lineRule="exact"/>
        <w:ind w:right="138" w:hanging="283"/>
        <w:rPr>
          <w:sz w:val="18"/>
        </w:rPr>
      </w:pPr>
      <w:r>
        <w:rPr>
          <w:sz w:val="18"/>
        </w:rPr>
        <w:t>Schembri A, Borg W,Santucci D,Attard N (2018) The impact of blindness on the oral health and the perceived need to seek treatment in a community of maltese older adults .Biomedical jounal of scientific and technical research Vol 5- issue 4</w:t>
      </w:r>
    </w:p>
    <w:p w:rsidR="002913B0" w:rsidRDefault="002913B0" w:rsidP="002913B0">
      <w:pPr>
        <w:pStyle w:val="ListParagraph"/>
        <w:numPr>
          <w:ilvl w:val="0"/>
          <w:numId w:val="3"/>
        </w:numPr>
        <w:tabs>
          <w:tab w:val="left" w:pos="384"/>
        </w:tabs>
        <w:spacing w:before="92" w:line="218" w:lineRule="exact"/>
        <w:ind w:hanging="283"/>
        <w:rPr>
          <w:sz w:val="18"/>
        </w:rPr>
      </w:pPr>
      <w:r>
        <w:rPr>
          <w:sz w:val="18"/>
        </w:rPr>
        <w:t>Attard N,Schembri A,Caruana C,Agius AM,Gainza Cirauqui ML(2018) Undergraduate students evaluation and reflections on a gerodontology programme.European journal of Dental Education, 1-10</w:t>
      </w:r>
    </w:p>
    <w:p w:rsidR="00AE3E37" w:rsidRPr="008756E6" w:rsidRDefault="002913B0" w:rsidP="002913B0">
      <w:pPr>
        <w:spacing w:line="204" w:lineRule="exact"/>
      </w:pPr>
      <w:r>
        <w:rPr>
          <w:sz w:val="18"/>
        </w:rPr>
        <w:t>Attard N,Caruana C, Schembri A,Gainza Ciraququi ML (2018) Oral health inlater life .107-129. Actve and Healthy Ageing in Malta.Formosa M ISBN ; 978-99957-99-41-0</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35816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913B0" w:rsidRDefault="002913B0" w:rsidP="002913B0">
      <w:pPr>
        <w:rPr>
          <w:rFonts w:ascii="Calibri" w:eastAsiaTheme="minorEastAsia" w:hAnsi="Calibri" w:cs="Calibri"/>
          <w:bCs/>
          <w:sz w:val="28"/>
          <w:szCs w:val="28"/>
        </w:rPr>
      </w:pPr>
      <w:r w:rsidRPr="002913B0">
        <w:rPr>
          <w:rFonts w:ascii="Times New Roman" w:eastAsiaTheme="minorEastAsia" w:hAnsi="Times New Roman" w:cs="Times New Roman"/>
        </w:rPr>
        <w:t>(</w:t>
      </w:r>
      <w:r w:rsidRPr="004C464B">
        <w:rPr>
          <w:rFonts w:ascii="Calibri" w:eastAsiaTheme="minorEastAsia" w:hAnsi="Calibri" w:cs="Calibri"/>
          <w:bCs/>
          <w:sz w:val="28"/>
          <w:szCs w:val="28"/>
        </w:rPr>
        <w:t>Graduated in 1989 Bachelor of Dental Surgery</w:t>
      </w:r>
      <w:r>
        <w:rPr>
          <w:rFonts w:ascii="Calibri" w:eastAsiaTheme="minorEastAsia" w:hAnsi="Calibri" w:cs="Calibri"/>
          <w:bCs/>
          <w:sz w:val="28"/>
          <w:szCs w:val="28"/>
        </w:rPr>
        <w:t>.</w:t>
      </w:r>
    </w:p>
    <w:p w:rsidR="002913B0" w:rsidRDefault="002913B0" w:rsidP="002913B0">
      <w:pPr>
        <w:rPr>
          <w:rFonts w:ascii="Calibri" w:eastAsiaTheme="minorEastAsia" w:hAnsi="Calibri" w:cs="Calibri"/>
          <w:bCs/>
          <w:sz w:val="28"/>
          <w:szCs w:val="28"/>
        </w:rPr>
      </w:pPr>
      <w:r>
        <w:rPr>
          <w:rFonts w:ascii="Calibri" w:eastAsiaTheme="minorEastAsia" w:hAnsi="Calibri" w:cs="Calibri"/>
          <w:bCs/>
          <w:sz w:val="28"/>
          <w:szCs w:val="28"/>
        </w:rPr>
        <w:t>P</w:t>
      </w:r>
      <w:r w:rsidRPr="004C464B">
        <w:rPr>
          <w:rFonts w:ascii="Calibri" w:eastAsiaTheme="minorEastAsia" w:hAnsi="Calibri" w:cs="Calibri"/>
          <w:bCs/>
          <w:sz w:val="28"/>
          <w:szCs w:val="28"/>
        </w:rPr>
        <w:t xml:space="preserve">ost graduate diploma in Gerodontology and Geriatrics in 1993 and Masters in Gerodontology and Geriatrics in 2003 from the University of Malta </w:t>
      </w:r>
    </w:p>
    <w:p w:rsidR="002913B0" w:rsidRDefault="002913B0" w:rsidP="002913B0">
      <w:pPr>
        <w:rPr>
          <w:rFonts w:ascii="Calibri" w:eastAsiaTheme="minorEastAsia" w:hAnsi="Calibri" w:cs="Calibri"/>
          <w:bCs/>
          <w:sz w:val="28"/>
          <w:szCs w:val="28"/>
        </w:rPr>
      </w:pPr>
      <w:r>
        <w:rPr>
          <w:rFonts w:ascii="Calibri" w:eastAsiaTheme="minorEastAsia" w:hAnsi="Calibri" w:cs="Calibri"/>
          <w:bCs/>
          <w:sz w:val="28"/>
          <w:szCs w:val="28"/>
        </w:rPr>
        <w:t>Founder member of the Maltese Association of Gerontology and Geriatrics 1993,currently position of Treasurer.</w:t>
      </w:r>
    </w:p>
    <w:p w:rsidR="002913B0" w:rsidRDefault="002913B0" w:rsidP="002913B0">
      <w:pPr>
        <w:rPr>
          <w:rFonts w:ascii="Calibri" w:eastAsiaTheme="minorEastAsia" w:hAnsi="Calibri" w:cs="Calibri"/>
          <w:bCs/>
          <w:sz w:val="28"/>
          <w:szCs w:val="28"/>
        </w:rPr>
      </w:pPr>
      <w:r w:rsidRPr="004C464B">
        <w:rPr>
          <w:rFonts w:ascii="Calibri" w:eastAsiaTheme="minorEastAsia" w:hAnsi="Calibri" w:cs="Calibri"/>
          <w:bCs/>
          <w:sz w:val="28"/>
          <w:szCs w:val="28"/>
        </w:rPr>
        <w:t xml:space="preserve">Inducted fellow of FICD in 2016. </w:t>
      </w:r>
    </w:p>
    <w:p w:rsidR="002913B0" w:rsidRDefault="002913B0" w:rsidP="002913B0">
      <w:pPr>
        <w:rPr>
          <w:rFonts w:ascii="Calibri" w:eastAsiaTheme="minorEastAsia" w:hAnsi="Calibri" w:cs="Calibri"/>
          <w:bCs/>
          <w:sz w:val="28"/>
          <w:szCs w:val="28"/>
        </w:rPr>
      </w:pPr>
      <w:r w:rsidRPr="004C464B">
        <w:rPr>
          <w:rFonts w:ascii="Calibri" w:eastAsiaTheme="minorEastAsia" w:hAnsi="Calibri" w:cs="Calibri"/>
          <w:bCs/>
          <w:sz w:val="28"/>
          <w:szCs w:val="28"/>
        </w:rPr>
        <w:t>Past president of the European College of Gerodontology ECG 2016/17.</w:t>
      </w:r>
    </w:p>
    <w:p w:rsidR="002913B0" w:rsidRDefault="002913B0" w:rsidP="002913B0">
      <w:pPr>
        <w:rPr>
          <w:rFonts w:ascii="Calibri" w:eastAsiaTheme="minorEastAsia" w:hAnsi="Calibri" w:cs="Calibri"/>
          <w:bCs/>
          <w:sz w:val="28"/>
          <w:szCs w:val="28"/>
        </w:rPr>
      </w:pPr>
      <w:r>
        <w:rPr>
          <w:rFonts w:ascii="Calibri" w:eastAsiaTheme="minorEastAsia" w:hAnsi="Calibri" w:cs="Calibri"/>
          <w:bCs/>
          <w:sz w:val="28"/>
          <w:szCs w:val="28"/>
        </w:rPr>
        <w:t>L</w:t>
      </w:r>
      <w:r w:rsidRPr="004C464B">
        <w:rPr>
          <w:rFonts w:ascii="Calibri" w:eastAsiaTheme="minorEastAsia" w:hAnsi="Calibri" w:cs="Calibri"/>
          <w:bCs/>
          <w:sz w:val="28"/>
          <w:szCs w:val="28"/>
        </w:rPr>
        <w:t xml:space="preserve">ecturer at University of Malta and responsible for </w:t>
      </w:r>
      <w:r>
        <w:rPr>
          <w:rFonts w:ascii="Calibri" w:eastAsiaTheme="minorEastAsia" w:hAnsi="Calibri" w:cs="Calibri"/>
          <w:bCs/>
          <w:sz w:val="28"/>
          <w:szCs w:val="28"/>
        </w:rPr>
        <w:t xml:space="preserve">launching and </w:t>
      </w:r>
      <w:r w:rsidRPr="004C464B">
        <w:rPr>
          <w:rFonts w:ascii="Calibri" w:eastAsiaTheme="minorEastAsia" w:hAnsi="Calibri" w:cs="Calibri"/>
          <w:bCs/>
          <w:sz w:val="28"/>
          <w:szCs w:val="28"/>
        </w:rPr>
        <w:t xml:space="preserve">the teaching of Gerodontology. </w:t>
      </w:r>
    </w:p>
    <w:p w:rsidR="002913B0" w:rsidRDefault="002913B0" w:rsidP="002913B0">
      <w:pPr>
        <w:rPr>
          <w:rFonts w:ascii="Calibri" w:eastAsiaTheme="minorEastAsia" w:hAnsi="Calibri" w:cs="Calibri"/>
          <w:bCs/>
          <w:sz w:val="28"/>
          <w:szCs w:val="28"/>
        </w:rPr>
      </w:pPr>
      <w:r w:rsidRPr="004C464B">
        <w:rPr>
          <w:rFonts w:ascii="Calibri" w:eastAsiaTheme="minorEastAsia" w:hAnsi="Calibri" w:cs="Calibri"/>
          <w:bCs/>
          <w:sz w:val="28"/>
          <w:szCs w:val="28"/>
        </w:rPr>
        <w:t>Author of the children’s book Id-dentatura tan-nanna.(Grandma’s dentures).</w:t>
      </w:r>
    </w:p>
    <w:p w:rsidR="002913B0" w:rsidRDefault="002913B0" w:rsidP="002913B0">
      <w:pPr>
        <w:rPr>
          <w:rFonts w:ascii="Calibri" w:eastAsiaTheme="minorEastAsia" w:hAnsi="Calibri" w:cs="Calibri"/>
          <w:bCs/>
          <w:sz w:val="28"/>
          <w:szCs w:val="28"/>
        </w:rPr>
      </w:pPr>
      <w:r w:rsidRPr="004C464B">
        <w:rPr>
          <w:rFonts w:ascii="Calibri" w:eastAsiaTheme="minorEastAsia" w:hAnsi="Calibri" w:cs="Calibri"/>
          <w:bCs/>
          <w:sz w:val="28"/>
          <w:szCs w:val="28"/>
        </w:rPr>
        <w:t>Awarded Best Elderly Oral Healthcare Initiative at the Oral Health &amp; Dentistry Awards 2018</w:t>
      </w:r>
    </w:p>
    <w:p w:rsidR="002913B0" w:rsidRDefault="002913B0" w:rsidP="002913B0">
      <w:pPr>
        <w:rPr>
          <w:rFonts w:ascii="Calibri" w:eastAsiaTheme="minorEastAsia" w:hAnsi="Calibri" w:cs="Calibri"/>
          <w:bCs/>
          <w:sz w:val="28"/>
          <w:szCs w:val="28"/>
        </w:rPr>
      </w:pPr>
      <w:r>
        <w:rPr>
          <w:rFonts w:ascii="Calibri" w:eastAsiaTheme="minorEastAsia" w:hAnsi="Calibri" w:cs="Calibri"/>
          <w:bCs/>
          <w:sz w:val="28"/>
          <w:szCs w:val="28"/>
        </w:rPr>
        <w:t>Awarded best poster presentation at the International conference on dentistry and oral health, Sept 14-16,2017/Valencia,Spain.</w:t>
      </w:r>
    </w:p>
    <w:p w:rsidR="002913B0" w:rsidRDefault="002913B0" w:rsidP="002913B0">
      <w:pPr>
        <w:rPr>
          <w:rFonts w:ascii="Calibri" w:eastAsiaTheme="minorEastAsia" w:hAnsi="Calibri" w:cs="Calibri"/>
          <w:bCs/>
          <w:sz w:val="28"/>
          <w:szCs w:val="28"/>
        </w:rPr>
      </w:pPr>
      <w:r>
        <w:rPr>
          <w:rFonts w:ascii="Calibri" w:eastAsiaTheme="minorEastAsia" w:hAnsi="Calibri" w:cs="Calibri"/>
          <w:bCs/>
          <w:sz w:val="28"/>
          <w:szCs w:val="28"/>
        </w:rPr>
        <w:t>Speaker at the International conference on dentistry and oral health, Sept 20-22,2018/Rome,Italy.</w:t>
      </w:r>
    </w:p>
    <w:p w:rsidR="002913B0" w:rsidRDefault="002913B0" w:rsidP="002913B0">
      <w:pPr>
        <w:rPr>
          <w:rFonts w:ascii="Calibri" w:eastAsiaTheme="minorEastAsia" w:hAnsi="Calibri" w:cs="Calibri"/>
          <w:bCs/>
          <w:sz w:val="28"/>
          <w:szCs w:val="28"/>
        </w:rPr>
      </w:pPr>
      <w:r>
        <w:rPr>
          <w:rFonts w:ascii="Calibri" w:eastAsiaTheme="minorEastAsia" w:hAnsi="Calibri" w:cs="Calibri"/>
          <w:bCs/>
          <w:sz w:val="28"/>
          <w:szCs w:val="28"/>
        </w:rPr>
        <w:t>Speaker at the Internatonal conference on dentistry and oral health,Sept 16-18,2019/London,U.K.</w:t>
      </w:r>
    </w:p>
    <w:p w:rsidR="002913B0" w:rsidRDefault="002913B0" w:rsidP="002913B0">
      <w:pPr>
        <w:rPr>
          <w:rFonts w:ascii="Calibri" w:eastAsiaTheme="minorEastAsia" w:hAnsi="Calibri" w:cs="Calibri"/>
          <w:bCs/>
          <w:sz w:val="28"/>
          <w:szCs w:val="28"/>
        </w:rPr>
      </w:pPr>
      <w:r>
        <w:rPr>
          <w:rFonts w:ascii="Calibri" w:eastAsiaTheme="minorEastAsia" w:hAnsi="Calibri" w:cs="Calibri"/>
          <w:bCs/>
          <w:sz w:val="28"/>
          <w:szCs w:val="28"/>
        </w:rPr>
        <w:t>Speaker at Congres International X emes Rencontres Medico-dentaires,Sept 27-28 2019/Monastir,Tunisie</w:t>
      </w:r>
    </w:p>
    <w:p w:rsidR="002913B0" w:rsidRDefault="002913B0" w:rsidP="002913B0">
      <w:pPr>
        <w:rPr>
          <w:rFonts w:ascii="Calibri" w:eastAsiaTheme="minorEastAsia" w:hAnsi="Calibri" w:cs="Calibri"/>
          <w:bCs/>
          <w:sz w:val="28"/>
          <w:szCs w:val="28"/>
        </w:rPr>
      </w:pPr>
      <w:r>
        <w:rPr>
          <w:rFonts w:ascii="Calibri" w:eastAsiaTheme="minorEastAsia" w:hAnsi="Calibri" w:cs="Calibri"/>
          <w:bCs/>
          <w:sz w:val="28"/>
          <w:szCs w:val="28"/>
        </w:rPr>
        <w:t>Speaker at the 28</w:t>
      </w:r>
      <w:r w:rsidRPr="00085F62">
        <w:rPr>
          <w:rFonts w:ascii="Calibri" w:eastAsiaTheme="minorEastAsia" w:hAnsi="Calibri" w:cs="Calibri"/>
          <w:bCs/>
          <w:sz w:val="28"/>
          <w:szCs w:val="28"/>
          <w:vertAlign w:val="superscript"/>
        </w:rPr>
        <w:t>th</w:t>
      </w:r>
      <w:r>
        <w:rPr>
          <w:rFonts w:ascii="Calibri" w:eastAsiaTheme="minorEastAsia" w:hAnsi="Calibri" w:cs="Calibri"/>
          <w:bCs/>
          <w:sz w:val="28"/>
          <w:szCs w:val="28"/>
        </w:rPr>
        <w:t xml:space="preserve"> Euro Dentistry Congress, March 2-3 2020/ Edinburgh,Scotland.</w:t>
      </w:r>
    </w:p>
    <w:p w:rsidR="002913B0" w:rsidRPr="002913B0" w:rsidRDefault="002913B0" w:rsidP="002913B0">
      <w:pPr>
        <w:widowControl/>
        <w:rPr>
          <w:rFonts w:ascii="Calibri" w:eastAsiaTheme="minorEastAsia" w:hAnsi="Calibri" w:cs="Calibri"/>
          <w:bCs/>
          <w:sz w:val="28"/>
          <w:szCs w:val="28"/>
        </w:rPr>
      </w:pP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r w:rsidR="002913B0">
        <w:rPr>
          <w:rFonts w:ascii="Arial"/>
          <w:sz w:val="14"/>
        </w:rPr>
        <w:t>info@alexanderschembri.com</w:t>
      </w:r>
      <w:hyperlink r:id="rId8" w:history="1"/>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8DE1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2913B0">
      <w:pPr>
        <w:rPr>
          <w:rFonts w:ascii="Minion Pro"/>
          <w:sz w:val="24"/>
        </w:rPr>
        <w:sectPr w:rsidR="00AE3E37" w:rsidSect="008E5477">
          <w:type w:val="continuous"/>
          <w:pgSz w:w="11910" w:h="16840"/>
          <w:pgMar w:top="995" w:right="600" w:bottom="840" w:left="620" w:header="720" w:footer="720" w:gutter="0"/>
          <w:cols w:space="720"/>
        </w:sectPr>
      </w:pPr>
      <w:r w:rsidRPr="002064C9">
        <w:rPr>
          <w:rFonts w:ascii="Calibri" w:hAnsi="Calibri" w:cs="Calibri"/>
          <w:b/>
          <w:bCs/>
          <w:noProof/>
          <w:color w:val="000000" w:themeColor="text1"/>
          <w:sz w:val="28"/>
          <w:szCs w:val="28"/>
        </w:rPr>
        <w:drawing>
          <wp:anchor distT="0" distB="0" distL="114300" distR="114300" simplePos="0" relativeHeight="251659264" behindDoc="1" locked="0" layoutInCell="1" allowOverlap="1" wp14:anchorId="65F37F73" wp14:editId="496D4FB2">
            <wp:simplePos x="0" y="0"/>
            <wp:positionH relativeFrom="column">
              <wp:posOffset>0</wp:posOffset>
            </wp:positionH>
            <wp:positionV relativeFrom="paragraph">
              <wp:posOffset>-2540</wp:posOffset>
            </wp:positionV>
            <wp:extent cx="1323975" cy="1861185"/>
            <wp:effectExtent l="0" t="0" r="9525" b="5715"/>
            <wp:wrapTight wrapText="bothSides">
              <wp:wrapPolygon edited="0">
                <wp:start x="0" y="0"/>
                <wp:lineTo x="0" y="21445"/>
                <wp:lineTo x="21445" y="21445"/>
                <wp:lineTo x="2144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960.jpg"/>
                    <pic:cNvPicPr/>
                  </pic:nvPicPr>
                  <pic:blipFill rotWithShape="1">
                    <a:blip r:embed="rId9" cstate="print">
                      <a:extLst>
                        <a:ext uri="{28A0092B-C50C-407E-A947-70E740481C1C}">
                          <a14:useLocalDpi xmlns:a14="http://schemas.microsoft.com/office/drawing/2010/main" val="0"/>
                        </a:ext>
                      </a:extLst>
                    </a:blip>
                    <a:srcRect t="6283"/>
                    <a:stretch/>
                  </pic:blipFill>
                  <pic:spPr bwMode="auto">
                    <a:xfrm>
                      <a:off x="0" y="0"/>
                      <a:ext cx="1323975" cy="1861185"/>
                    </a:xfrm>
                    <a:prstGeom prst="rect">
                      <a:avLst/>
                    </a:prstGeom>
                    <a:ln>
                      <a:noFill/>
                    </a:ln>
                    <a:extLst>
                      <a:ext uri="{53640926-AAD7-44D8-BBD7-CCE9431645EC}">
                        <a14:shadowObscured xmlns:a14="http://schemas.microsoft.com/office/drawing/2010/main"/>
                      </a:ext>
                    </a:extLst>
                  </pic:spPr>
                </pic:pic>
              </a:graphicData>
            </a:graphic>
          </wp:anchor>
        </w:drawing>
      </w: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AE3E37" w:rsidRDefault="00F046EA" w:rsidP="00017FD0">
      <w:pPr>
        <w:jc w:val="both"/>
        <w:rPr>
          <w:rFonts w:ascii="Minion Pro"/>
          <w:sz w:val="26"/>
        </w:rPr>
      </w:pPr>
      <w:r w:rsidRPr="0013708E">
        <w:t>Category: (Oral presentation/ Poster presentation)</w:t>
      </w:r>
      <w:r>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2796" w:rsidRDefault="003C2796">
      <w:r>
        <w:separator/>
      </w:r>
    </w:p>
  </w:endnote>
  <w:endnote w:type="continuationSeparator" w:id="0">
    <w:p w:rsidR="003C2796" w:rsidRDefault="003C2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796" w:rsidRDefault="003C2796">
      <w:r>
        <w:separator/>
      </w:r>
    </w:p>
  </w:footnote>
  <w:footnote w:type="continuationSeparator" w:id="0">
    <w:p w:rsidR="003C2796" w:rsidRDefault="003C27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7FD0"/>
    <w:rsid w:val="000E2911"/>
    <w:rsid w:val="001263DF"/>
    <w:rsid w:val="002913B0"/>
    <w:rsid w:val="00292ED9"/>
    <w:rsid w:val="00351D9B"/>
    <w:rsid w:val="00380299"/>
    <w:rsid w:val="003C2796"/>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33602"/>
    <w:rsid w:val="00C56C74"/>
    <w:rsid w:val="00CD6F55"/>
    <w:rsid w:val="00CE0E21"/>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E87CEC-A8F0-416C-8A90-7246AA2B1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rXXXXXXX@xxxmail.com"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Jacqueline</cp:lastModifiedBy>
  <cp:revision>2</cp:revision>
  <dcterms:created xsi:type="dcterms:W3CDTF">2021-08-30T16:55:00Z</dcterms:created>
  <dcterms:modified xsi:type="dcterms:W3CDTF">2021-08-30T16:55:00Z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