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Pr="00EF3F22" w:rsidRDefault="00EF3F22" w:rsidP="00EF3F22">
      <w:pPr>
        <w:pStyle w:val="Heading1"/>
        <w:spacing w:before="170"/>
        <w:ind w:left="0"/>
        <w:rPr>
          <w:color w:val="337AB7"/>
        </w:rPr>
      </w:pPr>
      <w:r w:rsidRPr="00EF3F22">
        <w:rPr>
          <w:color w:val="337AB7"/>
        </w:rPr>
        <w:t xml:space="preserve">Marginal discrepancy of five contemporary dental ceramics for anterior restorations </w:t>
      </w:r>
    </w:p>
    <w:p w:rsidR="00603695" w:rsidRDefault="00603695" w:rsidP="005973B9">
      <w:pPr>
        <w:pStyle w:val="BodyText"/>
        <w:spacing w:before="73" w:line="198" w:lineRule="exact"/>
        <w:ind w:left="100" w:right="5987"/>
        <w:rPr>
          <w:rFonts w:ascii="Arial"/>
        </w:rPr>
      </w:pPr>
      <w:r>
        <w:rPr>
          <w:rFonts w:ascii="Arial"/>
        </w:rPr>
        <w:t xml:space="preserve">Noor </w:t>
      </w:r>
      <w:proofErr w:type="spellStart"/>
      <w:r>
        <w:rPr>
          <w:rFonts w:ascii="Arial"/>
        </w:rPr>
        <w:t>Nawafleh</w:t>
      </w:r>
      <w:proofErr w:type="spellEnd"/>
      <w:r>
        <w:rPr>
          <w:rFonts w:ascii="Arial"/>
        </w:rPr>
        <w:t>, PhD, Jordan University of Science and Technology, Jordan</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820861" w:rsidRPr="00603695" w:rsidRDefault="00426F6B" w:rsidP="00426F6B">
      <w:pPr>
        <w:pStyle w:val="BodyText"/>
        <w:spacing w:before="90" w:line="280" w:lineRule="auto"/>
        <w:ind w:left="100"/>
        <w:jc w:val="both"/>
      </w:pPr>
      <w:r>
        <w:t xml:space="preserve">Statement of the problem: </w:t>
      </w:r>
      <w:r w:rsidRPr="00426F6B">
        <w:t xml:space="preserve">Over the last decades, significant efforts have been made to increase strength and reliability of the </w:t>
      </w:r>
      <w:proofErr w:type="spellStart"/>
      <w:r w:rsidRPr="00426F6B">
        <w:t>allceramic</w:t>
      </w:r>
      <w:proofErr w:type="spellEnd"/>
      <w:r w:rsidRPr="00426F6B">
        <w:t xml:space="preserve"> systems. Materials with esthetic advantages such as lithium disilicate ceramics have been very popular for the replacement of anterior teeth. More recently translucent zirconia and zirconia reinforced lithium silicate materials have been introduced as</w:t>
      </w:r>
      <w:r>
        <w:t xml:space="preserve"> stronger materials with </w:t>
      </w:r>
      <w:r w:rsidRPr="00426F6B">
        <w:t xml:space="preserve">comparable esthetic capabilities. </w:t>
      </w:r>
      <w:r w:rsidR="00820861" w:rsidRPr="00603695">
        <w:t xml:space="preserve">Purpose: This study aimed to measure and compare marginal accuracy of </w:t>
      </w:r>
      <w:proofErr w:type="spellStart"/>
      <w:r w:rsidR="00820861" w:rsidRPr="00603695">
        <w:t>allceramic</w:t>
      </w:r>
      <w:proofErr w:type="spellEnd"/>
      <w:r w:rsidR="00820861" w:rsidRPr="00603695">
        <w:t xml:space="preserve"> crowns indicated for anterior restorations. </w:t>
      </w:r>
    </w:p>
    <w:p w:rsidR="00820861" w:rsidRPr="00603695" w:rsidRDefault="00820861" w:rsidP="00426F6B">
      <w:pPr>
        <w:pStyle w:val="BodyText"/>
        <w:spacing w:before="90" w:line="280" w:lineRule="auto"/>
        <w:ind w:left="100"/>
        <w:jc w:val="both"/>
      </w:pPr>
      <w:r w:rsidRPr="00603695">
        <w:t xml:space="preserve">Materials and Methods: A master die of maxillary central incisor was prepared for </w:t>
      </w:r>
      <w:proofErr w:type="spellStart"/>
      <w:r w:rsidRPr="00603695">
        <w:t>allceramic</w:t>
      </w:r>
      <w:proofErr w:type="spellEnd"/>
      <w:r w:rsidRPr="00603695">
        <w:t xml:space="preserve"> crown restoration and duplicated to produce 50 replicas of epoxy resin die material. Five ceramic materials (</w:t>
      </w:r>
      <w:proofErr w:type="spellStart"/>
      <w:r w:rsidRPr="00603695">
        <w:t>e.max</w:t>
      </w:r>
      <w:proofErr w:type="spellEnd"/>
      <w:r w:rsidRPr="00603695">
        <w:t xml:space="preserve"> CAD, Vita </w:t>
      </w:r>
      <w:proofErr w:type="spellStart"/>
      <w:r w:rsidRPr="00603695">
        <w:t>Suprinity</w:t>
      </w:r>
      <w:proofErr w:type="spellEnd"/>
      <w:r w:rsidRPr="00603695">
        <w:t xml:space="preserve">, </w:t>
      </w:r>
      <w:proofErr w:type="spellStart"/>
      <w:r w:rsidRPr="00603695">
        <w:t>Celtra</w:t>
      </w:r>
      <w:proofErr w:type="spellEnd"/>
      <w:r w:rsidRPr="00603695">
        <w:t xml:space="preserve"> Duo, </w:t>
      </w:r>
      <w:proofErr w:type="spellStart"/>
      <w:r w:rsidRPr="00603695">
        <w:t>Cercon</w:t>
      </w:r>
      <w:proofErr w:type="spellEnd"/>
      <w:r w:rsidRPr="00603695">
        <w:t xml:space="preserve"> </w:t>
      </w:r>
      <w:proofErr w:type="spellStart"/>
      <w:r w:rsidRPr="00603695">
        <w:t>xt</w:t>
      </w:r>
      <w:proofErr w:type="spellEnd"/>
      <w:r w:rsidRPr="00603695">
        <w:t xml:space="preserve"> and </w:t>
      </w:r>
      <w:proofErr w:type="spellStart"/>
      <w:r w:rsidRPr="00603695">
        <w:t>e.max</w:t>
      </w:r>
      <w:proofErr w:type="spellEnd"/>
      <w:r w:rsidRPr="00603695">
        <w:t xml:space="preserve"> </w:t>
      </w:r>
      <w:proofErr w:type="spellStart"/>
      <w:r w:rsidRPr="00603695">
        <w:t>ZirCAD</w:t>
      </w:r>
      <w:proofErr w:type="spellEnd"/>
      <w:r w:rsidRPr="00603695">
        <w:t>) were used to mill the crowns with ten specimens each. All crowns were manufactured following the same digital workflow; same master die, scanning unit and design software, and the recommended manufacturing protocol. Final seating of crown</w:t>
      </w:r>
      <w:r w:rsidR="00426F6B">
        <w:t>s</w:t>
      </w:r>
      <w:r w:rsidRPr="00603695">
        <w:t xml:space="preserve"> was secured by a small droplet of temporary cement on its incisal edge. Marginal accuracy was evaluated by Scan</w:t>
      </w:r>
      <w:r w:rsidR="00426F6B">
        <w:t>ning Electronic Microscope</w:t>
      </w:r>
      <w:r w:rsidRPr="00603695">
        <w:t xml:space="preserve"> with a magnification of 300x. Vertical marginal gap was measured for each crown at pr</w:t>
      </w:r>
      <w:r w:rsidR="00426F6B">
        <w:t>edefined 4 points. One-way</w:t>
      </w:r>
      <w:r w:rsidRPr="00603695">
        <w:t xml:space="preserve"> and Tukey multiple comparison tests were used to analyze significant differences between test groups (P= 0.05). </w:t>
      </w:r>
    </w:p>
    <w:p w:rsidR="00820861" w:rsidRPr="00603695" w:rsidRDefault="00820861" w:rsidP="00603695">
      <w:pPr>
        <w:pStyle w:val="BodyText"/>
        <w:spacing w:before="90" w:line="280" w:lineRule="auto"/>
        <w:ind w:left="100"/>
        <w:jc w:val="both"/>
      </w:pPr>
      <w:r w:rsidRPr="00603695">
        <w:t xml:space="preserve">Results: The highest mean marginal gap and average maximum gap calculated were for the </w:t>
      </w:r>
      <w:proofErr w:type="spellStart"/>
      <w:r w:rsidRPr="00603695">
        <w:t>e.max</w:t>
      </w:r>
      <w:proofErr w:type="spellEnd"/>
      <w:r w:rsidRPr="00603695">
        <w:t xml:space="preserve"> CAD crowns (49.2 µm, 87.6 µm) while the lowest values were for the </w:t>
      </w:r>
      <w:proofErr w:type="spellStart"/>
      <w:r w:rsidRPr="00603695">
        <w:t>Cercon</w:t>
      </w:r>
      <w:proofErr w:type="spellEnd"/>
      <w:r w:rsidRPr="00603695">
        <w:t xml:space="preserve"> </w:t>
      </w:r>
      <w:proofErr w:type="spellStart"/>
      <w:r w:rsidRPr="00603695">
        <w:t>xt</w:t>
      </w:r>
      <w:proofErr w:type="spellEnd"/>
      <w:r w:rsidRPr="00603695">
        <w:t xml:space="preserve"> crowns (10.2 µm, 21.7 µm). The mean marginal gap and the average maximum gap of the </w:t>
      </w:r>
      <w:proofErr w:type="spellStart"/>
      <w:r w:rsidRPr="00603695">
        <w:t>e.max</w:t>
      </w:r>
      <w:proofErr w:type="spellEnd"/>
      <w:r w:rsidRPr="00603695">
        <w:t xml:space="preserve"> CAD crowns were statistically significantly greater than those of all other groups (p&lt;0.05). However, the differences between all other combinations were insignificant (p&gt;0.05). </w:t>
      </w:r>
    </w:p>
    <w:p w:rsidR="00820861" w:rsidRPr="00603695" w:rsidRDefault="00820861" w:rsidP="00426F6B">
      <w:pPr>
        <w:pStyle w:val="BodyText"/>
        <w:spacing w:before="90" w:line="280" w:lineRule="auto"/>
        <w:ind w:left="100"/>
        <w:jc w:val="both"/>
      </w:pPr>
      <w:r w:rsidRPr="00603695">
        <w:t>Conclusions</w:t>
      </w:r>
      <w:r w:rsidR="00426F6B">
        <w:t xml:space="preserve">: </w:t>
      </w:r>
      <w:r w:rsidRPr="00603695">
        <w:t>Zirconia and zirconia reinforced lithium silicate materials can produce a greater level of marginal accuracy compared to lithium disilicate.</w:t>
      </w:r>
    </w:p>
    <w:p w:rsidR="00820861" w:rsidRDefault="00A9710C" w:rsidP="00820861">
      <w:pPr>
        <w:pStyle w:val="Heading3"/>
        <w:spacing w:before="74"/>
        <w:rPr>
          <w:b w:val="0"/>
        </w:rPr>
      </w:pPr>
      <w:r>
        <w:rPr>
          <w:b w:val="0"/>
        </w:rPr>
        <w:br w:type="column"/>
      </w:r>
    </w:p>
    <w:p w:rsidR="005973B9" w:rsidRDefault="005973B9" w:rsidP="00820861">
      <w:pPr>
        <w:pStyle w:val="Heading3"/>
        <w:spacing w:before="74"/>
        <w:rPr>
          <w:b w:val="0"/>
        </w:rPr>
      </w:pPr>
      <w:r>
        <w:rPr>
          <w:color w:val="BF5A14"/>
        </w:rPr>
        <w:t>Recent Publications (minimum 5)</w:t>
      </w:r>
    </w:p>
    <w:p w:rsidR="005973B9" w:rsidRPr="00603695" w:rsidRDefault="00820861" w:rsidP="00820861">
      <w:pPr>
        <w:pStyle w:val="ListParagraph"/>
        <w:numPr>
          <w:ilvl w:val="0"/>
          <w:numId w:val="3"/>
        </w:numPr>
        <w:tabs>
          <w:tab w:val="left" w:pos="384"/>
        </w:tabs>
        <w:spacing w:before="103" w:line="216" w:lineRule="exact"/>
        <w:ind w:right="138" w:hanging="283"/>
        <w:rPr>
          <w:rFonts w:asciiTheme="minorHAnsi" w:hAnsiTheme="minorHAnsi" w:cstheme="minorHAnsi"/>
          <w:sz w:val="18"/>
          <w:szCs w:val="18"/>
        </w:rPr>
      </w:pPr>
      <w:proofErr w:type="spellStart"/>
      <w:r w:rsidRPr="00603695">
        <w:rPr>
          <w:rFonts w:asciiTheme="minorHAnsi" w:hAnsiTheme="minorHAnsi" w:cstheme="minorHAnsi"/>
          <w:b/>
          <w:bCs/>
          <w:color w:val="222222"/>
          <w:sz w:val="18"/>
          <w:szCs w:val="18"/>
          <w:shd w:val="clear" w:color="auto" w:fill="FFFFFF"/>
        </w:rPr>
        <w:t>Nawafleh</w:t>
      </w:r>
      <w:proofErr w:type="spellEnd"/>
      <w:r w:rsidRPr="00603695">
        <w:rPr>
          <w:rFonts w:asciiTheme="minorHAnsi" w:hAnsiTheme="minorHAnsi" w:cstheme="minorHAnsi"/>
          <w:b/>
          <w:bCs/>
          <w:color w:val="222222"/>
          <w:sz w:val="18"/>
          <w:szCs w:val="18"/>
          <w:shd w:val="clear" w:color="auto" w:fill="FFFFFF"/>
        </w:rPr>
        <w:t>, N</w:t>
      </w:r>
      <w:r w:rsidRPr="00603695">
        <w:rPr>
          <w:rFonts w:asciiTheme="minorHAnsi" w:hAnsiTheme="minorHAnsi" w:cstheme="minorHAnsi"/>
          <w:color w:val="222222"/>
          <w:sz w:val="18"/>
          <w:szCs w:val="18"/>
          <w:shd w:val="clear" w:color="auto" w:fill="FFFFFF"/>
        </w:rPr>
        <w:t xml:space="preserve">., </w:t>
      </w:r>
      <w:proofErr w:type="spellStart"/>
      <w:r w:rsidRPr="00603695">
        <w:rPr>
          <w:rFonts w:asciiTheme="minorHAnsi" w:hAnsiTheme="minorHAnsi" w:cstheme="minorHAnsi"/>
          <w:color w:val="222222"/>
          <w:sz w:val="18"/>
          <w:szCs w:val="18"/>
          <w:shd w:val="clear" w:color="auto" w:fill="FFFFFF"/>
        </w:rPr>
        <w:t>Bibars</w:t>
      </w:r>
      <w:proofErr w:type="spellEnd"/>
      <w:r w:rsidRPr="00603695">
        <w:rPr>
          <w:rFonts w:asciiTheme="minorHAnsi" w:hAnsiTheme="minorHAnsi" w:cstheme="minorHAnsi"/>
          <w:color w:val="222222"/>
          <w:sz w:val="18"/>
          <w:szCs w:val="18"/>
          <w:shd w:val="clear" w:color="auto" w:fill="FFFFFF"/>
        </w:rPr>
        <w:t xml:space="preserve">, A. R., Al </w:t>
      </w:r>
      <w:proofErr w:type="spellStart"/>
      <w:r w:rsidRPr="00603695">
        <w:rPr>
          <w:rFonts w:asciiTheme="minorHAnsi" w:hAnsiTheme="minorHAnsi" w:cstheme="minorHAnsi"/>
          <w:color w:val="222222"/>
          <w:sz w:val="18"/>
          <w:szCs w:val="18"/>
          <w:shd w:val="clear" w:color="auto" w:fill="FFFFFF"/>
        </w:rPr>
        <w:t>Twal</w:t>
      </w:r>
      <w:proofErr w:type="spellEnd"/>
      <w:r w:rsidRPr="00603695">
        <w:rPr>
          <w:rFonts w:asciiTheme="minorHAnsi" w:hAnsiTheme="minorHAnsi" w:cstheme="minorHAnsi"/>
          <w:color w:val="222222"/>
          <w:sz w:val="18"/>
          <w:szCs w:val="18"/>
          <w:shd w:val="clear" w:color="auto" w:fill="FFFFFF"/>
        </w:rPr>
        <w:t xml:space="preserve">, E., &amp; </w:t>
      </w:r>
      <w:proofErr w:type="spellStart"/>
      <w:r w:rsidRPr="00603695">
        <w:rPr>
          <w:rFonts w:asciiTheme="minorHAnsi" w:hAnsiTheme="minorHAnsi" w:cstheme="minorHAnsi"/>
          <w:color w:val="222222"/>
          <w:sz w:val="18"/>
          <w:szCs w:val="18"/>
          <w:shd w:val="clear" w:color="auto" w:fill="FFFFFF"/>
        </w:rPr>
        <w:t>Öchsner</w:t>
      </w:r>
      <w:proofErr w:type="spellEnd"/>
      <w:r w:rsidRPr="00603695">
        <w:rPr>
          <w:rFonts w:asciiTheme="minorHAnsi" w:hAnsiTheme="minorHAnsi" w:cstheme="minorHAnsi"/>
          <w:color w:val="222222"/>
          <w:sz w:val="18"/>
          <w:szCs w:val="18"/>
          <w:shd w:val="clear" w:color="auto" w:fill="FFFFFF"/>
        </w:rPr>
        <w:t>, A. (2020). Influence of antagonist material on fatigue and fracture resistance of zirconia crowns. </w:t>
      </w:r>
      <w:r w:rsidRPr="00603695">
        <w:rPr>
          <w:rFonts w:asciiTheme="minorHAnsi" w:hAnsiTheme="minorHAnsi" w:cstheme="minorHAnsi"/>
          <w:i/>
          <w:iCs/>
          <w:color w:val="222222"/>
          <w:sz w:val="18"/>
          <w:szCs w:val="18"/>
          <w:shd w:val="clear" w:color="auto" w:fill="FFFFFF"/>
        </w:rPr>
        <w:t>European journal of dentistry</w:t>
      </w:r>
      <w:r w:rsidRPr="00603695">
        <w:rPr>
          <w:rFonts w:asciiTheme="minorHAnsi" w:hAnsiTheme="minorHAnsi" w:cstheme="minorHAnsi"/>
          <w:color w:val="222222"/>
          <w:sz w:val="18"/>
          <w:szCs w:val="18"/>
          <w:shd w:val="clear" w:color="auto" w:fill="FFFFFF"/>
        </w:rPr>
        <w:t>, </w:t>
      </w:r>
      <w:r w:rsidRPr="00603695">
        <w:rPr>
          <w:rFonts w:asciiTheme="minorHAnsi" w:hAnsiTheme="minorHAnsi" w:cstheme="minorHAnsi"/>
          <w:i/>
          <w:iCs/>
          <w:color w:val="222222"/>
          <w:sz w:val="18"/>
          <w:szCs w:val="18"/>
          <w:shd w:val="clear" w:color="auto" w:fill="FFFFFF"/>
        </w:rPr>
        <w:t>14</w:t>
      </w:r>
      <w:r w:rsidRPr="00603695">
        <w:rPr>
          <w:rFonts w:asciiTheme="minorHAnsi" w:hAnsiTheme="minorHAnsi" w:cstheme="minorHAnsi"/>
          <w:color w:val="222222"/>
          <w:sz w:val="18"/>
          <w:szCs w:val="18"/>
          <w:shd w:val="clear" w:color="auto" w:fill="FFFFFF"/>
        </w:rPr>
        <w:t>(02), 200-205</w:t>
      </w:r>
    </w:p>
    <w:p w:rsidR="00820861" w:rsidRPr="00603695" w:rsidRDefault="00820861" w:rsidP="005973B9">
      <w:pPr>
        <w:pStyle w:val="ListParagraph"/>
        <w:numPr>
          <w:ilvl w:val="0"/>
          <w:numId w:val="3"/>
        </w:numPr>
        <w:tabs>
          <w:tab w:val="left" w:pos="384"/>
        </w:tabs>
        <w:spacing w:line="216" w:lineRule="exact"/>
        <w:ind w:right="138" w:hanging="283"/>
        <w:rPr>
          <w:rFonts w:asciiTheme="minorHAnsi" w:hAnsiTheme="minorHAnsi" w:cstheme="minorHAnsi"/>
          <w:sz w:val="18"/>
          <w:szCs w:val="18"/>
        </w:rPr>
      </w:pPr>
      <w:proofErr w:type="spellStart"/>
      <w:r w:rsidRPr="00603695">
        <w:rPr>
          <w:rFonts w:asciiTheme="minorHAnsi" w:hAnsiTheme="minorHAnsi" w:cstheme="minorHAnsi"/>
          <w:b/>
          <w:bCs/>
          <w:color w:val="222222"/>
          <w:sz w:val="18"/>
          <w:szCs w:val="18"/>
          <w:shd w:val="clear" w:color="auto" w:fill="FFFFFF"/>
        </w:rPr>
        <w:t>Nawafleh</w:t>
      </w:r>
      <w:proofErr w:type="spellEnd"/>
      <w:r w:rsidRPr="00603695">
        <w:rPr>
          <w:rFonts w:asciiTheme="minorHAnsi" w:hAnsiTheme="minorHAnsi" w:cstheme="minorHAnsi"/>
          <w:b/>
          <w:bCs/>
          <w:color w:val="222222"/>
          <w:sz w:val="18"/>
          <w:szCs w:val="18"/>
          <w:shd w:val="clear" w:color="auto" w:fill="FFFFFF"/>
        </w:rPr>
        <w:t>, N</w:t>
      </w:r>
      <w:r w:rsidRPr="00603695">
        <w:rPr>
          <w:rFonts w:asciiTheme="minorHAnsi" w:hAnsiTheme="minorHAnsi" w:cstheme="minorHAnsi"/>
          <w:color w:val="222222"/>
          <w:sz w:val="18"/>
          <w:szCs w:val="18"/>
          <w:shd w:val="clear" w:color="auto" w:fill="FFFFFF"/>
        </w:rPr>
        <w:t xml:space="preserve">., </w:t>
      </w:r>
      <w:proofErr w:type="spellStart"/>
      <w:r w:rsidRPr="00603695">
        <w:rPr>
          <w:rFonts w:asciiTheme="minorHAnsi" w:hAnsiTheme="minorHAnsi" w:cstheme="minorHAnsi"/>
          <w:color w:val="222222"/>
          <w:sz w:val="18"/>
          <w:szCs w:val="18"/>
          <w:shd w:val="clear" w:color="auto" w:fill="FFFFFF"/>
        </w:rPr>
        <w:t>Bibars</w:t>
      </w:r>
      <w:proofErr w:type="spellEnd"/>
      <w:r w:rsidRPr="00603695">
        <w:rPr>
          <w:rFonts w:asciiTheme="minorHAnsi" w:hAnsiTheme="minorHAnsi" w:cstheme="minorHAnsi"/>
          <w:color w:val="222222"/>
          <w:sz w:val="18"/>
          <w:szCs w:val="18"/>
          <w:shd w:val="clear" w:color="auto" w:fill="FFFFFF"/>
        </w:rPr>
        <w:t xml:space="preserve">, A. R., </w:t>
      </w:r>
      <w:proofErr w:type="spellStart"/>
      <w:r w:rsidRPr="00603695">
        <w:rPr>
          <w:rFonts w:asciiTheme="minorHAnsi" w:hAnsiTheme="minorHAnsi" w:cstheme="minorHAnsi"/>
          <w:color w:val="222222"/>
          <w:sz w:val="18"/>
          <w:szCs w:val="18"/>
          <w:shd w:val="clear" w:color="auto" w:fill="FFFFFF"/>
        </w:rPr>
        <w:t>Elshiyab</w:t>
      </w:r>
      <w:proofErr w:type="spellEnd"/>
      <w:r w:rsidRPr="00603695">
        <w:rPr>
          <w:rFonts w:asciiTheme="minorHAnsi" w:hAnsiTheme="minorHAnsi" w:cstheme="minorHAnsi"/>
          <w:color w:val="222222"/>
          <w:sz w:val="18"/>
          <w:szCs w:val="18"/>
          <w:shd w:val="clear" w:color="auto" w:fill="FFFFFF"/>
        </w:rPr>
        <w:t xml:space="preserve">, S., &amp; </w:t>
      </w:r>
      <w:proofErr w:type="spellStart"/>
      <w:r w:rsidRPr="00603695">
        <w:rPr>
          <w:rFonts w:asciiTheme="minorHAnsi" w:hAnsiTheme="minorHAnsi" w:cstheme="minorHAnsi"/>
          <w:color w:val="222222"/>
          <w:sz w:val="18"/>
          <w:szCs w:val="18"/>
          <w:shd w:val="clear" w:color="auto" w:fill="FFFFFF"/>
        </w:rPr>
        <w:t>Janzeer</w:t>
      </w:r>
      <w:proofErr w:type="spellEnd"/>
      <w:r w:rsidRPr="00603695">
        <w:rPr>
          <w:rFonts w:asciiTheme="minorHAnsi" w:hAnsiTheme="minorHAnsi" w:cstheme="minorHAnsi"/>
          <w:color w:val="222222"/>
          <w:sz w:val="18"/>
          <w:szCs w:val="18"/>
          <w:shd w:val="clear" w:color="auto" w:fill="FFFFFF"/>
        </w:rPr>
        <w:t>, Y. (2020). In vitro Simulation of Periodontal Ligament in Fatigue Testing of Dental Crowns. </w:t>
      </w:r>
      <w:r w:rsidRPr="00603695">
        <w:rPr>
          <w:rFonts w:asciiTheme="minorHAnsi" w:hAnsiTheme="minorHAnsi" w:cstheme="minorHAnsi"/>
          <w:i/>
          <w:iCs/>
          <w:color w:val="222222"/>
          <w:sz w:val="18"/>
          <w:szCs w:val="18"/>
          <w:shd w:val="clear" w:color="auto" w:fill="FFFFFF"/>
        </w:rPr>
        <w:t>European Journal of Dentistry</w:t>
      </w:r>
      <w:r w:rsidRPr="00603695">
        <w:rPr>
          <w:rFonts w:asciiTheme="minorHAnsi" w:hAnsiTheme="minorHAnsi" w:cstheme="minorHAnsi"/>
          <w:color w:val="222222"/>
          <w:sz w:val="18"/>
          <w:szCs w:val="18"/>
          <w:shd w:val="clear" w:color="auto" w:fill="FFFFFF"/>
        </w:rPr>
        <w:t>, </w:t>
      </w:r>
      <w:r w:rsidRPr="00603695">
        <w:rPr>
          <w:rFonts w:asciiTheme="minorHAnsi" w:hAnsiTheme="minorHAnsi" w:cstheme="minorHAnsi"/>
          <w:i/>
          <w:iCs/>
          <w:color w:val="222222"/>
          <w:sz w:val="18"/>
          <w:szCs w:val="18"/>
          <w:shd w:val="clear" w:color="auto" w:fill="FFFFFF"/>
        </w:rPr>
        <w:t>14</w:t>
      </w:r>
      <w:r w:rsidRPr="00603695">
        <w:rPr>
          <w:rFonts w:asciiTheme="minorHAnsi" w:hAnsiTheme="minorHAnsi" w:cstheme="minorHAnsi"/>
          <w:color w:val="222222"/>
          <w:sz w:val="18"/>
          <w:szCs w:val="18"/>
          <w:shd w:val="clear" w:color="auto" w:fill="FFFFFF"/>
        </w:rPr>
        <w:t>(03), 380-385.</w:t>
      </w:r>
    </w:p>
    <w:p w:rsidR="00820861" w:rsidRPr="00603695" w:rsidRDefault="00820861" w:rsidP="00AA285E">
      <w:pPr>
        <w:pStyle w:val="ListParagraph"/>
        <w:numPr>
          <w:ilvl w:val="0"/>
          <w:numId w:val="3"/>
        </w:numPr>
        <w:tabs>
          <w:tab w:val="left" w:pos="384"/>
        </w:tabs>
        <w:spacing w:before="92" w:line="218" w:lineRule="exact"/>
        <w:ind w:hanging="283"/>
        <w:rPr>
          <w:rFonts w:asciiTheme="minorHAnsi" w:hAnsiTheme="minorHAnsi" w:cstheme="minorHAnsi"/>
          <w:color w:val="222222"/>
          <w:sz w:val="18"/>
          <w:szCs w:val="18"/>
          <w:shd w:val="clear" w:color="auto" w:fill="FFFFFF"/>
        </w:rPr>
      </w:pPr>
      <w:proofErr w:type="spellStart"/>
      <w:r w:rsidRPr="00603695">
        <w:rPr>
          <w:rFonts w:asciiTheme="minorHAnsi" w:hAnsiTheme="minorHAnsi" w:cstheme="minorHAnsi"/>
          <w:color w:val="222222"/>
          <w:sz w:val="18"/>
          <w:szCs w:val="18"/>
          <w:shd w:val="clear" w:color="auto" w:fill="FFFFFF"/>
        </w:rPr>
        <w:t>Elshiyab</w:t>
      </w:r>
      <w:proofErr w:type="spellEnd"/>
      <w:r w:rsidRPr="00603695">
        <w:rPr>
          <w:rFonts w:asciiTheme="minorHAnsi" w:hAnsiTheme="minorHAnsi" w:cstheme="minorHAnsi"/>
          <w:color w:val="222222"/>
          <w:sz w:val="18"/>
          <w:szCs w:val="18"/>
          <w:shd w:val="clear" w:color="auto" w:fill="FFFFFF"/>
        </w:rPr>
        <w:t xml:space="preserve">, S. H., </w:t>
      </w:r>
      <w:proofErr w:type="spellStart"/>
      <w:r w:rsidRPr="00603695">
        <w:rPr>
          <w:rFonts w:asciiTheme="minorHAnsi" w:hAnsiTheme="minorHAnsi" w:cstheme="minorHAnsi"/>
          <w:b/>
          <w:bCs/>
          <w:color w:val="222222"/>
          <w:sz w:val="18"/>
          <w:szCs w:val="18"/>
          <w:shd w:val="clear" w:color="auto" w:fill="FFFFFF"/>
        </w:rPr>
        <w:t>Nawafleh</w:t>
      </w:r>
      <w:proofErr w:type="spellEnd"/>
      <w:r w:rsidRPr="00603695">
        <w:rPr>
          <w:rFonts w:asciiTheme="minorHAnsi" w:hAnsiTheme="minorHAnsi" w:cstheme="minorHAnsi"/>
          <w:b/>
          <w:bCs/>
          <w:color w:val="222222"/>
          <w:sz w:val="18"/>
          <w:szCs w:val="18"/>
          <w:shd w:val="clear" w:color="auto" w:fill="FFFFFF"/>
        </w:rPr>
        <w:t>, N</w:t>
      </w:r>
      <w:r w:rsidRPr="00603695">
        <w:rPr>
          <w:rFonts w:asciiTheme="minorHAnsi" w:hAnsiTheme="minorHAnsi" w:cstheme="minorHAnsi"/>
          <w:color w:val="222222"/>
          <w:sz w:val="18"/>
          <w:szCs w:val="18"/>
          <w:shd w:val="clear" w:color="auto" w:fill="FFFFFF"/>
        </w:rPr>
        <w:t xml:space="preserve">., Khan, U., </w:t>
      </w:r>
      <w:proofErr w:type="spellStart"/>
      <w:r w:rsidRPr="00603695">
        <w:rPr>
          <w:rFonts w:asciiTheme="minorHAnsi" w:hAnsiTheme="minorHAnsi" w:cstheme="minorHAnsi"/>
          <w:color w:val="222222"/>
          <w:sz w:val="18"/>
          <w:szCs w:val="18"/>
          <w:shd w:val="clear" w:color="auto" w:fill="FFFFFF"/>
        </w:rPr>
        <w:t>Öchsner</w:t>
      </w:r>
      <w:proofErr w:type="spellEnd"/>
      <w:r w:rsidRPr="00603695">
        <w:rPr>
          <w:rFonts w:asciiTheme="minorHAnsi" w:hAnsiTheme="minorHAnsi" w:cstheme="minorHAnsi"/>
          <w:color w:val="222222"/>
          <w:sz w:val="18"/>
          <w:szCs w:val="18"/>
          <w:shd w:val="clear" w:color="auto" w:fill="FFFFFF"/>
        </w:rPr>
        <w:t>, A., &amp; George, R. (2020). Impact of Coping Veneering Techniques on the Survival of Implant-Supported Zirconia-Based-Crowns Cemented to Hybrid-Abutments: An-In-Vitro Study. </w:t>
      </w:r>
      <w:r w:rsidRPr="00603695">
        <w:rPr>
          <w:rFonts w:asciiTheme="minorHAnsi" w:hAnsiTheme="minorHAnsi" w:cstheme="minorHAnsi"/>
          <w:i/>
          <w:iCs/>
          <w:color w:val="222222"/>
          <w:sz w:val="18"/>
          <w:szCs w:val="18"/>
          <w:shd w:val="clear" w:color="auto" w:fill="FFFFFF"/>
        </w:rPr>
        <w:t>Bioengineering</w:t>
      </w:r>
      <w:r w:rsidRPr="00603695">
        <w:rPr>
          <w:rFonts w:asciiTheme="minorHAnsi" w:hAnsiTheme="minorHAnsi" w:cstheme="minorHAnsi"/>
          <w:color w:val="222222"/>
          <w:sz w:val="18"/>
          <w:szCs w:val="18"/>
          <w:shd w:val="clear" w:color="auto" w:fill="FFFFFF"/>
        </w:rPr>
        <w:t>, </w:t>
      </w:r>
      <w:r w:rsidRPr="00603695">
        <w:rPr>
          <w:rFonts w:asciiTheme="minorHAnsi" w:hAnsiTheme="minorHAnsi" w:cstheme="minorHAnsi"/>
          <w:i/>
          <w:iCs/>
          <w:color w:val="222222"/>
          <w:sz w:val="18"/>
          <w:szCs w:val="18"/>
          <w:shd w:val="clear" w:color="auto" w:fill="FFFFFF"/>
        </w:rPr>
        <w:t>7</w:t>
      </w:r>
      <w:r w:rsidRPr="00603695">
        <w:rPr>
          <w:rFonts w:asciiTheme="minorHAnsi" w:hAnsiTheme="minorHAnsi" w:cstheme="minorHAnsi"/>
          <w:color w:val="222222"/>
          <w:sz w:val="18"/>
          <w:szCs w:val="18"/>
          <w:shd w:val="clear" w:color="auto" w:fill="FFFFFF"/>
        </w:rPr>
        <w:t xml:space="preserve">(4), 117. </w:t>
      </w:r>
    </w:p>
    <w:p w:rsidR="00820861" w:rsidRPr="00603695" w:rsidRDefault="00820861" w:rsidP="00AA285E">
      <w:pPr>
        <w:pStyle w:val="ListParagraph"/>
        <w:numPr>
          <w:ilvl w:val="0"/>
          <w:numId w:val="3"/>
        </w:numPr>
        <w:tabs>
          <w:tab w:val="left" w:pos="384"/>
        </w:tabs>
        <w:spacing w:before="92" w:line="218" w:lineRule="exact"/>
        <w:ind w:hanging="283"/>
        <w:rPr>
          <w:rFonts w:asciiTheme="minorHAnsi" w:hAnsiTheme="minorHAnsi" w:cstheme="minorHAnsi"/>
          <w:sz w:val="18"/>
          <w:szCs w:val="18"/>
        </w:rPr>
      </w:pPr>
      <w:proofErr w:type="spellStart"/>
      <w:r w:rsidRPr="00603695">
        <w:rPr>
          <w:rFonts w:asciiTheme="minorHAnsi" w:hAnsiTheme="minorHAnsi" w:cstheme="minorHAnsi"/>
          <w:b/>
          <w:bCs/>
          <w:color w:val="222222"/>
          <w:sz w:val="18"/>
          <w:szCs w:val="18"/>
          <w:shd w:val="clear" w:color="auto" w:fill="FFFFFF"/>
        </w:rPr>
        <w:t>Nawafleh</w:t>
      </w:r>
      <w:proofErr w:type="spellEnd"/>
      <w:r w:rsidRPr="00603695">
        <w:rPr>
          <w:rFonts w:asciiTheme="minorHAnsi" w:hAnsiTheme="minorHAnsi" w:cstheme="minorHAnsi"/>
          <w:b/>
          <w:bCs/>
          <w:color w:val="222222"/>
          <w:sz w:val="18"/>
          <w:szCs w:val="18"/>
          <w:shd w:val="clear" w:color="auto" w:fill="FFFFFF"/>
        </w:rPr>
        <w:t>, N</w:t>
      </w:r>
      <w:r w:rsidRPr="00603695">
        <w:rPr>
          <w:rFonts w:asciiTheme="minorHAnsi" w:hAnsiTheme="minorHAnsi" w:cstheme="minorHAnsi"/>
          <w:color w:val="222222"/>
          <w:sz w:val="18"/>
          <w:szCs w:val="18"/>
          <w:shd w:val="clear" w:color="auto" w:fill="FFFFFF"/>
        </w:rPr>
        <w:t xml:space="preserve">., </w:t>
      </w:r>
      <w:proofErr w:type="spellStart"/>
      <w:r w:rsidRPr="00603695">
        <w:rPr>
          <w:rFonts w:asciiTheme="minorHAnsi" w:hAnsiTheme="minorHAnsi" w:cstheme="minorHAnsi"/>
          <w:color w:val="222222"/>
          <w:sz w:val="18"/>
          <w:szCs w:val="18"/>
          <w:shd w:val="clear" w:color="auto" w:fill="FFFFFF"/>
        </w:rPr>
        <w:t>Hatamleh</w:t>
      </w:r>
      <w:proofErr w:type="spellEnd"/>
      <w:r w:rsidRPr="00603695">
        <w:rPr>
          <w:rFonts w:asciiTheme="minorHAnsi" w:hAnsiTheme="minorHAnsi" w:cstheme="minorHAnsi"/>
          <w:color w:val="222222"/>
          <w:sz w:val="18"/>
          <w:szCs w:val="18"/>
          <w:shd w:val="clear" w:color="auto" w:fill="FFFFFF"/>
        </w:rPr>
        <w:t xml:space="preserve">, M. M., </w:t>
      </w:r>
      <w:proofErr w:type="spellStart"/>
      <w:r w:rsidRPr="00603695">
        <w:rPr>
          <w:rFonts w:asciiTheme="minorHAnsi" w:hAnsiTheme="minorHAnsi" w:cstheme="minorHAnsi"/>
          <w:color w:val="222222"/>
          <w:sz w:val="18"/>
          <w:szCs w:val="18"/>
          <w:shd w:val="clear" w:color="auto" w:fill="FFFFFF"/>
        </w:rPr>
        <w:t>Öchsner</w:t>
      </w:r>
      <w:proofErr w:type="spellEnd"/>
      <w:r w:rsidRPr="00603695">
        <w:rPr>
          <w:rFonts w:asciiTheme="minorHAnsi" w:hAnsiTheme="minorHAnsi" w:cstheme="minorHAnsi"/>
          <w:color w:val="222222"/>
          <w:sz w:val="18"/>
          <w:szCs w:val="18"/>
          <w:shd w:val="clear" w:color="auto" w:fill="FFFFFF"/>
        </w:rPr>
        <w:t>, A., &amp; Mack, F. (2018). The impact of core/veneer thickness ratio and cyclic loading on fracture resistance of lithium disilicate crown. </w:t>
      </w:r>
      <w:r w:rsidRPr="00603695">
        <w:rPr>
          <w:rFonts w:asciiTheme="minorHAnsi" w:hAnsiTheme="minorHAnsi" w:cstheme="minorHAnsi"/>
          <w:i/>
          <w:iCs/>
          <w:color w:val="222222"/>
          <w:sz w:val="18"/>
          <w:szCs w:val="18"/>
          <w:shd w:val="clear" w:color="auto" w:fill="FFFFFF"/>
        </w:rPr>
        <w:t>Journal of Prosthodontics</w:t>
      </w:r>
      <w:r w:rsidRPr="00603695">
        <w:rPr>
          <w:rFonts w:asciiTheme="minorHAnsi" w:hAnsiTheme="minorHAnsi" w:cstheme="minorHAnsi"/>
          <w:color w:val="222222"/>
          <w:sz w:val="18"/>
          <w:szCs w:val="18"/>
          <w:shd w:val="clear" w:color="auto" w:fill="FFFFFF"/>
        </w:rPr>
        <w:t>, </w:t>
      </w:r>
      <w:r w:rsidRPr="00603695">
        <w:rPr>
          <w:rFonts w:asciiTheme="minorHAnsi" w:hAnsiTheme="minorHAnsi" w:cstheme="minorHAnsi"/>
          <w:i/>
          <w:iCs/>
          <w:color w:val="222222"/>
          <w:sz w:val="18"/>
          <w:szCs w:val="18"/>
          <w:shd w:val="clear" w:color="auto" w:fill="FFFFFF"/>
        </w:rPr>
        <w:t>27</w:t>
      </w:r>
      <w:r w:rsidRPr="00603695">
        <w:rPr>
          <w:rFonts w:asciiTheme="minorHAnsi" w:hAnsiTheme="minorHAnsi" w:cstheme="minorHAnsi"/>
          <w:color w:val="222222"/>
          <w:sz w:val="18"/>
          <w:szCs w:val="18"/>
          <w:shd w:val="clear" w:color="auto" w:fill="FFFFFF"/>
        </w:rPr>
        <w:t>(1), 75-82.</w:t>
      </w:r>
    </w:p>
    <w:p w:rsidR="00820861" w:rsidRPr="00603695" w:rsidRDefault="00820861" w:rsidP="00AA285E">
      <w:pPr>
        <w:pStyle w:val="ListParagraph"/>
        <w:numPr>
          <w:ilvl w:val="0"/>
          <w:numId w:val="3"/>
        </w:numPr>
        <w:tabs>
          <w:tab w:val="left" w:pos="384"/>
        </w:tabs>
        <w:spacing w:before="85" w:line="216" w:lineRule="exact"/>
        <w:ind w:right="138"/>
        <w:rPr>
          <w:rFonts w:asciiTheme="minorHAnsi" w:hAnsiTheme="minorHAnsi" w:cstheme="minorHAnsi"/>
          <w:sz w:val="18"/>
          <w:szCs w:val="18"/>
        </w:rPr>
      </w:pPr>
      <w:proofErr w:type="spellStart"/>
      <w:r w:rsidRPr="00603695">
        <w:rPr>
          <w:rFonts w:asciiTheme="minorHAnsi" w:hAnsiTheme="minorHAnsi" w:cstheme="minorHAnsi"/>
          <w:color w:val="222222"/>
          <w:sz w:val="18"/>
          <w:szCs w:val="18"/>
          <w:shd w:val="clear" w:color="auto" w:fill="FFFFFF"/>
        </w:rPr>
        <w:t>Elshiyab</w:t>
      </w:r>
      <w:proofErr w:type="spellEnd"/>
      <w:r w:rsidRPr="00603695">
        <w:rPr>
          <w:rFonts w:asciiTheme="minorHAnsi" w:hAnsiTheme="minorHAnsi" w:cstheme="minorHAnsi"/>
          <w:color w:val="222222"/>
          <w:sz w:val="18"/>
          <w:szCs w:val="18"/>
          <w:shd w:val="clear" w:color="auto" w:fill="FFFFFF"/>
        </w:rPr>
        <w:t xml:space="preserve">, S. H., </w:t>
      </w:r>
      <w:proofErr w:type="spellStart"/>
      <w:r w:rsidRPr="00603695">
        <w:rPr>
          <w:rFonts w:asciiTheme="minorHAnsi" w:hAnsiTheme="minorHAnsi" w:cstheme="minorHAnsi"/>
          <w:b/>
          <w:bCs/>
          <w:color w:val="222222"/>
          <w:sz w:val="18"/>
          <w:szCs w:val="18"/>
          <w:shd w:val="clear" w:color="auto" w:fill="FFFFFF"/>
        </w:rPr>
        <w:t>Nawafleh</w:t>
      </w:r>
      <w:proofErr w:type="spellEnd"/>
      <w:r w:rsidRPr="00603695">
        <w:rPr>
          <w:rFonts w:asciiTheme="minorHAnsi" w:hAnsiTheme="minorHAnsi" w:cstheme="minorHAnsi"/>
          <w:b/>
          <w:bCs/>
          <w:color w:val="222222"/>
          <w:sz w:val="18"/>
          <w:szCs w:val="18"/>
          <w:shd w:val="clear" w:color="auto" w:fill="FFFFFF"/>
        </w:rPr>
        <w:t>, N</w:t>
      </w:r>
      <w:r w:rsidRPr="00603695">
        <w:rPr>
          <w:rFonts w:asciiTheme="minorHAnsi" w:hAnsiTheme="minorHAnsi" w:cstheme="minorHAnsi"/>
          <w:color w:val="222222"/>
          <w:sz w:val="18"/>
          <w:szCs w:val="18"/>
          <w:shd w:val="clear" w:color="auto" w:fill="FFFFFF"/>
        </w:rPr>
        <w:t xml:space="preserve">., </w:t>
      </w:r>
      <w:proofErr w:type="spellStart"/>
      <w:r w:rsidRPr="00603695">
        <w:rPr>
          <w:rFonts w:asciiTheme="minorHAnsi" w:hAnsiTheme="minorHAnsi" w:cstheme="minorHAnsi"/>
          <w:color w:val="222222"/>
          <w:sz w:val="18"/>
          <w:szCs w:val="18"/>
          <w:shd w:val="clear" w:color="auto" w:fill="FFFFFF"/>
        </w:rPr>
        <w:t>Öchsner</w:t>
      </w:r>
      <w:proofErr w:type="spellEnd"/>
      <w:r w:rsidRPr="00603695">
        <w:rPr>
          <w:rFonts w:asciiTheme="minorHAnsi" w:hAnsiTheme="minorHAnsi" w:cstheme="minorHAnsi"/>
          <w:color w:val="222222"/>
          <w:sz w:val="18"/>
          <w:szCs w:val="18"/>
          <w:shd w:val="clear" w:color="auto" w:fill="FFFFFF"/>
        </w:rPr>
        <w:t>, A., &amp; George, R. (2018). Fracture resistance of implant-supported monolithic crowns cemented to zirconia hybrid-abutments: zirconia-based crowns vs. lithium disilicate crowns. </w:t>
      </w:r>
      <w:r w:rsidRPr="00603695">
        <w:rPr>
          <w:rFonts w:asciiTheme="minorHAnsi" w:hAnsiTheme="minorHAnsi" w:cstheme="minorHAnsi"/>
          <w:i/>
          <w:iCs/>
          <w:color w:val="222222"/>
          <w:sz w:val="18"/>
          <w:szCs w:val="18"/>
          <w:shd w:val="clear" w:color="auto" w:fill="FFFFFF"/>
        </w:rPr>
        <w:t>The journal of advanced prosthodontics</w:t>
      </w:r>
      <w:r w:rsidRPr="00603695">
        <w:rPr>
          <w:rFonts w:asciiTheme="minorHAnsi" w:hAnsiTheme="minorHAnsi" w:cstheme="minorHAnsi"/>
          <w:color w:val="222222"/>
          <w:sz w:val="18"/>
          <w:szCs w:val="18"/>
          <w:shd w:val="clear" w:color="auto" w:fill="FFFFFF"/>
        </w:rPr>
        <w:t>, </w:t>
      </w:r>
      <w:r w:rsidRPr="00603695">
        <w:rPr>
          <w:rFonts w:asciiTheme="minorHAnsi" w:hAnsiTheme="minorHAnsi" w:cstheme="minorHAnsi"/>
          <w:i/>
          <w:iCs/>
          <w:color w:val="222222"/>
          <w:sz w:val="18"/>
          <w:szCs w:val="18"/>
          <w:shd w:val="clear" w:color="auto" w:fill="FFFFFF"/>
        </w:rPr>
        <w:t>10</w:t>
      </w:r>
      <w:r w:rsidRPr="00603695">
        <w:rPr>
          <w:rFonts w:asciiTheme="minorHAnsi" w:hAnsiTheme="minorHAnsi" w:cstheme="minorHAnsi"/>
          <w:color w:val="222222"/>
          <w:sz w:val="18"/>
          <w:szCs w:val="18"/>
          <w:shd w:val="clear" w:color="auto" w:fill="FFFFFF"/>
        </w:rPr>
        <w:t>(1), 65-72.</w:t>
      </w:r>
    </w:p>
    <w:p w:rsidR="00AE3E37" w:rsidRPr="00603695" w:rsidRDefault="005973B9" w:rsidP="00AA285E">
      <w:pPr>
        <w:pStyle w:val="ListParagraph"/>
        <w:numPr>
          <w:ilvl w:val="0"/>
          <w:numId w:val="3"/>
        </w:numPr>
        <w:tabs>
          <w:tab w:val="left" w:pos="384"/>
        </w:tabs>
        <w:spacing w:before="85" w:line="216" w:lineRule="exact"/>
        <w:ind w:right="138"/>
        <w:rPr>
          <w:rFonts w:asciiTheme="minorHAnsi" w:hAnsiTheme="minorHAnsi" w:cstheme="minorHAnsi"/>
          <w:sz w:val="18"/>
          <w:szCs w:val="18"/>
        </w:rPr>
      </w:pPr>
      <w:r w:rsidRPr="00603695">
        <w:rPr>
          <w:rFonts w:asciiTheme="minorHAnsi" w:hAnsiTheme="minorHAnsi" w:cstheme="minorHAnsi"/>
          <w:sz w:val="18"/>
          <w:szCs w:val="18"/>
        </w:rPr>
        <w:t xml:space="preserve">5. </w:t>
      </w:r>
      <w:proofErr w:type="spellStart"/>
      <w:r w:rsidR="00820861" w:rsidRPr="00603695">
        <w:rPr>
          <w:rFonts w:asciiTheme="minorHAnsi" w:hAnsiTheme="minorHAnsi" w:cstheme="minorHAnsi"/>
          <w:color w:val="222222"/>
          <w:sz w:val="18"/>
          <w:szCs w:val="18"/>
          <w:shd w:val="clear" w:color="auto" w:fill="FFFFFF"/>
        </w:rPr>
        <w:t>Elshiyab</w:t>
      </w:r>
      <w:proofErr w:type="spellEnd"/>
      <w:r w:rsidR="00820861" w:rsidRPr="00603695">
        <w:rPr>
          <w:rFonts w:asciiTheme="minorHAnsi" w:hAnsiTheme="minorHAnsi" w:cstheme="minorHAnsi"/>
          <w:color w:val="222222"/>
          <w:sz w:val="18"/>
          <w:szCs w:val="18"/>
          <w:shd w:val="clear" w:color="auto" w:fill="FFFFFF"/>
        </w:rPr>
        <w:t xml:space="preserve">, S. H., </w:t>
      </w:r>
      <w:proofErr w:type="spellStart"/>
      <w:r w:rsidR="00820861" w:rsidRPr="00603695">
        <w:rPr>
          <w:rFonts w:asciiTheme="minorHAnsi" w:hAnsiTheme="minorHAnsi" w:cstheme="minorHAnsi"/>
          <w:b/>
          <w:bCs/>
          <w:color w:val="222222"/>
          <w:sz w:val="18"/>
          <w:szCs w:val="18"/>
          <w:shd w:val="clear" w:color="auto" w:fill="FFFFFF"/>
        </w:rPr>
        <w:t>Nawafleh</w:t>
      </w:r>
      <w:proofErr w:type="spellEnd"/>
      <w:r w:rsidR="00820861" w:rsidRPr="00603695">
        <w:rPr>
          <w:rFonts w:asciiTheme="minorHAnsi" w:hAnsiTheme="minorHAnsi" w:cstheme="minorHAnsi"/>
          <w:b/>
          <w:bCs/>
          <w:color w:val="222222"/>
          <w:sz w:val="18"/>
          <w:szCs w:val="18"/>
          <w:shd w:val="clear" w:color="auto" w:fill="FFFFFF"/>
        </w:rPr>
        <w:t>, N</w:t>
      </w:r>
      <w:r w:rsidR="00820861" w:rsidRPr="00603695">
        <w:rPr>
          <w:rFonts w:asciiTheme="minorHAnsi" w:hAnsiTheme="minorHAnsi" w:cstheme="minorHAnsi"/>
          <w:color w:val="222222"/>
          <w:sz w:val="18"/>
          <w:szCs w:val="18"/>
          <w:shd w:val="clear" w:color="auto" w:fill="FFFFFF"/>
        </w:rPr>
        <w:t>., Walsh, L., &amp; George, R. (2018). Fracture resistance and survival of implant‐supported, zirconia‐based hybrid‐abutment crowns: Influence of aging and crown structure. </w:t>
      </w:r>
      <w:r w:rsidR="00820861" w:rsidRPr="00603695">
        <w:rPr>
          <w:rFonts w:asciiTheme="minorHAnsi" w:hAnsiTheme="minorHAnsi" w:cstheme="minorHAnsi"/>
          <w:i/>
          <w:iCs/>
          <w:color w:val="222222"/>
          <w:sz w:val="18"/>
          <w:szCs w:val="18"/>
          <w:shd w:val="clear" w:color="auto" w:fill="FFFFFF"/>
        </w:rPr>
        <w:t>Journal of investigative and clinical dentistry</w:t>
      </w:r>
      <w:r w:rsidR="00820861" w:rsidRPr="00603695">
        <w:rPr>
          <w:rFonts w:asciiTheme="minorHAnsi" w:hAnsiTheme="minorHAnsi" w:cstheme="minorHAnsi"/>
          <w:color w:val="222222"/>
          <w:sz w:val="18"/>
          <w:szCs w:val="18"/>
          <w:shd w:val="clear" w:color="auto" w:fill="FFFFFF"/>
        </w:rPr>
        <w:t>, </w:t>
      </w:r>
      <w:r w:rsidR="00820861" w:rsidRPr="00603695">
        <w:rPr>
          <w:rFonts w:asciiTheme="minorHAnsi" w:hAnsiTheme="minorHAnsi" w:cstheme="minorHAnsi"/>
          <w:i/>
          <w:iCs/>
          <w:color w:val="222222"/>
          <w:sz w:val="18"/>
          <w:szCs w:val="18"/>
          <w:shd w:val="clear" w:color="auto" w:fill="FFFFFF"/>
        </w:rPr>
        <w:t>9</w:t>
      </w:r>
      <w:r w:rsidR="00820861" w:rsidRPr="00603695">
        <w:rPr>
          <w:rFonts w:asciiTheme="minorHAnsi" w:hAnsiTheme="minorHAnsi" w:cstheme="minorHAnsi"/>
          <w:color w:val="222222"/>
          <w:sz w:val="18"/>
          <w:szCs w:val="18"/>
          <w:shd w:val="clear" w:color="auto" w:fill="FFFFFF"/>
        </w:rPr>
        <w:t>(4), e12355.</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sidRPr="00603695">
        <w:rPr>
          <w:rFonts w:asciiTheme="minorHAnsi" w:hAnsiTheme="minorHAnsi" w:cstheme="minorHAns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AU" w:eastAsia="en-AU"/>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367A1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E25F13" w:rsidRDefault="00A52075" w:rsidP="00404E5B">
      <w:pPr>
        <w:spacing w:before="92"/>
        <w:ind w:right="4234"/>
        <w:rPr>
          <w:noProof/>
        </w:rPr>
      </w:pPr>
      <w:r>
        <w:rPr>
          <w:rFonts w:ascii="Times New Roman" w:hAnsi="Times New Roman" w:cs="Times New Roman"/>
          <w:noProof/>
          <w:sz w:val="24"/>
          <w:szCs w:val="24"/>
          <w:lang w:val="en-AU" w:eastAsia="en-AU"/>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25F13" w:rsidRDefault="00E25F13"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E25F13" w:rsidRDefault="00E25F13"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E25F13">
        <w:rPr>
          <w:noProof/>
        </w:rPr>
        <w:t xml:space="preserve">        </w:t>
      </w:r>
    </w:p>
    <w:p w:rsidR="00E25F13" w:rsidRDefault="004272FF" w:rsidP="00404E5B">
      <w:pPr>
        <w:spacing w:before="92"/>
        <w:ind w:right="4234"/>
        <w:rPr>
          <w:noProof/>
        </w:rPr>
      </w:pPr>
      <w:r>
        <w:rPr>
          <w:noProof/>
          <w:lang w:val="en-AU" w:eastAsia="en-AU"/>
        </w:rPr>
        <w:drawing>
          <wp:inline distT="0" distB="0" distL="0" distR="0">
            <wp:extent cx="1693723" cy="1762125"/>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465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18707" cy="1788118"/>
                    </a:xfrm>
                    <a:prstGeom prst="rect">
                      <a:avLst/>
                    </a:prstGeom>
                  </pic:spPr>
                </pic:pic>
              </a:graphicData>
            </a:graphic>
          </wp:inline>
        </w:drawing>
      </w:r>
      <w:bookmarkStart w:id="0" w:name="_GoBack"/>
      <w:bookmarkEnd w:id="0"/>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rsidR="00603695" w:rsidRPr="006238D0" w:rsidRDefault="003873E3" w:rsidP="006238D0">
      <w:pPr>
        <w:spacing w:before="41" w:line="154" w:lineRule="exact"/>
        <w:ind w:left="213" w:right="231"/>
        <w:jc w:val="both"/>
        <w:rPr>
          <w:rFonts w:ascii="Arial"/>
          <w:sz w:val="14"/>
        </w:rPr>
      </w:pPr>
      <w:r w:rsidRPr="006238D0">
        <w:rPr>
          <w:rFonts w:ascii="Arial"/>
          <w:sz w:val="14"/>
        </w:rPr>
        <w:t xml:space="preserve">Noor </w:t>
      </w:r>
      <w:proofErr w:type="spellStart"/>
      <w:r w:rsidRPr="006238D0">
        <w:rPr>
          <w:rFonts w:ascii="Arial"/>
          <w:sz w:val="14"/>
        </w:rPr>
        <w:t>Nawafleh</w:t>
      </w:r>
      <w:proofErr w:type="spellEnd"/>
      <w:r w:rsidRPr="006238D0">
        <w:rPr>
          <w:rFonts w:ascii="Arial"/>
          <w:sz w:val="14"/>
        </w:rPr>
        <w:t xml:space="preserve"> is an assistant professor in Dental Technology at Jordan University of Science and Technology</w:t>
      </w:r>
      <w:r w:rsidR="00603695" w:rsidRPr="006238D0">
        <w:rPr>
          <w:rFonts w:ascii="Arial"/>
          <w:sz w:val="14"/>
        </w:rPr>
        <w:t>, Jordan</w:t>
      </w:r>
      <w:r w:rsidRPr="006238D0">
        <w:rPr>
          <w:rFonts w:ascii="Arial"/>
          <w:sz w:val="14"/>
        </w:rPr>
        <w:t xml:space="preserve">. She graduated from the same university </w:t>
      </w:r>
      <w:r w:rsidR="009A245B" w:rsidRPr="006238D0">
        <w:rPr>
          <w:rFonts w:ascii="Arial"/>
          <w:sz w:val="14"/>
        </w:rPr>
        <w:t>in 2002 and awarded a scholarship for being</w:t>
      </w:r>
      <w:r w:rsidR="00603695" w:rsidRPr="006238D0">
        <w:rPr>
          <w:rFonts w:ascii="Arial"/>
          <w:sz w:val="14"/>
        </w:rPr>
        <w:t xml:space="preserve"> the </w:t>
      </w:r>
      <w:r w:rsidR="009A245B" w:rsidRPr="006238D0">
        <w:rPr>
          <w:rFonts w:ascii="Arial"/>
          <w:sz w:val="14"/>
        </w:rPr>
        <w:t xml:space="preserve">top student </w:t>
      </w:r>
      <w:r w:rsidR="006238D0">
        <w:rPr>
          <w:rFonts w:ascii="Arial"/>
          <w:sz w:val="14"/>
        </w:rPr>
        <w:t>in</w:t>
      </w:r>
      <w:r w:rsidR="009A245B" w:rsidRPr="006238D0">
        <w:rPr>
          <w:rFonts w:ascii="Arial"/>
          <w:sz w:val="14"/>
        </w:rPr>
        <w:t xml:space="preserve"> that year. Noor finished </w:t>
      </w:r>
      <w:r w:rsidRPr="006238D0">
        <w:rPr>
          <w:rFonts w:ascii="Arial"/>
          <w:sz w:val="14"/>
        </w:rPr>
        <w:t xml:space="preserve">her Master and PhD </w:t>
      </w:r>
      <w:r w:rsidR="009A245B" w:rsidRPr="006238D0">
        <w:rPr>
          <w:rFonts w:ascii="Arial"/>
          <w:sz w:val="14"/>
        </w:rPr>
        <w:t>at</w:t>
      </w:r>
      <w:r w:rsidRPr="006238D0">
        <w:rPr>
          <w:rFonts w:ascii="Arial"/>
          <w:sz w:val="14"/>
        </w:rPr>
        <w:t xml:space="preserve"> Griffith Uni</w:t>
      </w:r>
      <w:r w:rsidR="004E03AF" w:rsidRPr="006238D0">
        <w:rPr>
          <w:rFonts w:ascii="Arial"/>
          <w:sz w:val="14"/>
        </w:rPr>
        <w:t xml:space="preserve">versity, QLD, AUS. </w:t>
      </w:r>
      <w:r w:rsidR="009A245B" w:rsidRPr="006238D0">
        <w:rPr>
          <w:rFonts w:ascii="Arial"/>
          <w:sz w:val="14"/>
        </w:rPr>
        <w:t xml:space="preserve">She </w:t>
      </w:r>
      <w:r w:rsidR="00603695" w:rsidRPr="006238D0">
        <w:rPr>
          <w:rFonts w:ascii="Arial"/>
          <w:sz w:val="14"/>
        </w:rPr>
        <w:t>earned</w:t>
      </w:r>
      <w:r w:rsidR="009A245B" w:rsidRPr="006238D0">
        <w:rPr>
          <w:rFonts w:ascii="Arial"/>
          <w:sz w:val="14"/>
        </w:rPr>
        <w:t xml:space="preserve"> Karl Ring Bursary for her outstanding </w:t>
      </w:r>
      <w:r w:rsidR="00603695" w:rsidRPr="006238D0">
        <w:rPr>
          <w:rFonts w:ascii="Arial"/>
          <w:sz w:val="14"/>
        </w:rPr>
        <w:t xml:space="preserve">academic </w:t>
      </w:r>
      <w:r w:rsidR="009A245B" w:rsidRPr="006238D0">
        <w:rPr>
          <w:rFonts w:ascii="Arial"/>
          <w:sz w:val="14"/>
        </w:rPr>
        <w:t>performance</w:t>
      </w:r>
      <w:r w:rsidR="00603695" w:rsidRPr="006238D0">
        <w:rPr>
          <w:rFonts w:ascii="Arial"/>
          <w:sz w:val="14"/>
        </w:rPr>
        <w:t>.</w:t>
      </w:r>
      <w:r w:rsidR="009A245B" w:rsidRPr="006238D0">
        <w:rPr>
          <w:rFonts w:ascii="Arial"/>
          <w:sz w:val="14"/>
        </w:rPr>
        <w:t xml:space="preserve"> </w:t>
      </w:r>
      <w:r w:rsidR="00603695" w:rsidRPr="006238D0">
        <w:rPr>
          <w:rFonts w:ascii="Arial"/>
          <w:sz w:val="14"/>
        </w:rPr>
        <w:t>She</w:t>
      </w:r>
      <w:r w:rsidR="00A9710C" w:rsidRPr="006238D0">
        <w:rPr>
          <w:rFonts w:ascii="Arial"/>
          <w:sz w:val="14"/>
        </w:rPr>
        <w:t xml:space="preserve"> has her expertise in </w:t>
      </w:r>
      <w:r w:rsidRPr="006238D0">
        <w:rPr>
          <w:rFonts w:ascii="Arial"/>
          <w:sz w:val="14"/>
        </w:rPr>
        <w:t>Dental Materials, more specifically</w:t>
      </w:r>
      <w:r w:rsidR="00AA285E" w:rsidRPr="006238D0">
        <w:rPr>
          <w:rFonts w:ascii="Arial"/>
          <w:sz w:val="14"/>
        </w:rPr>
        <w:t>,</w:t>
      </w:r>
      <w:r w:rsidRPr="006238D0">
        <w:rPr>
          <w:rFonts w:ascii="Arial"/>
          <w:sz w:val="14"/>
        </w:rPr>
        <w:t xml:space="preserve"> </w:t>
      </w:r>
      <w:r w:rsidR="00AA285E" w:rsidRPr="006238D0">
        <w:rPr>
          <w:rFonts w:ascii="Arial"/>
          <w:sz w:val="14"/>
        </w:rPr>
        <w:t>ceramics.</w:t>
      </w:r>
      <w:r w:rsidR="00D6403C" w:rsidRPr="006238D0">
        <w:rPr>
          <w:rFonts w:ascii="Arial"/>
          <w:sz w:val="14"/>
        </w:rPr>
        <w:t xml:space="preserve"> </w:t>
      </w:r>
    </w:p>
    <w:p w:rsidR="00AA285E" w:rsidRPr="006238D0" w:rsidRDefault="004E03AF" w:rsidP="006238D0">
      <w:pPr>
        <w:spacing w:before="41" w:line="154" w:lineRule="exact"/>
        <w:ind w:left="213" w:right="231"/>
        <w:jc w:val="both"/>
        <w:rPr>
          <w:rFonts w:ascii="Arial"/>
          <w:sz w:val="14"/>
        </w:rPr>
      </w:pPr>
      <w:r w:rsidRPr="006238D0">
        <w:rPr>
          <w:rFonts w:ascii="Arial"/>
          <w:sz w:val="14"/>
        </w:rPr>
        <w:t>Noor is very passionate to teaching and research. Since her graduations and during her study for Master and PhD</w:t>
      </w:r>
      <w:r w:rsidR="00603695" w:rsidRPr="006238D0">
        <w:rPr>
          <w:rFonts w:ascii="Arial"/>
          <w:sz w:val="14"/>
        </w:rPr>
        <w:t xml:space="preserve"> degrees</w:t>
      </w:r>
      <w:r w:rsidRPr="006238D0">
        <w:rPr>
          <w:rFonts w:ascii="Arial"/>
          <w:sz w:val="14"/>
        </w:rPr>
        <w:t xml:space="preserve">, she was working as a teaching and research assistant to </w:t>
      </w:r>
      <w:r w:rsidR="00603695" w:rsidRPr="006238D0">
        <w:rPr>
          <w:rFonts w:ascii="Arial"/>
          <w:sz w:val="14"/>
        </w:rPr>
        <w:t>enrich her</w:t>
      </w:r>
      <w:r w:rsidRPr="006238D0">
        <w:rPr>
          <w:rFonts w:ascii="Arial"/>
          <w:sz w:val="14"/>
        </w:rPr>
        <w:t xml:space="preserve"> skills and knowledge.</w:t>
      </w:r>
      <w:r w:rsidR="00D6403C" w:rsidRPr="006238D0">
        <w:rPr>
          <w:rFonts w:ascii="Arial"/>
          <w:sz w:val="14"/>
        </w:rPr>
        <w:t xml:space="preserve"> </w:t>
      </w:r>
      <w:r w:rsidRPr="006238D0">
        <w:rPr>
          <w:rFonts w:ascii="Arial"/>
          <w:sz w:val="14"/>
        </w:rPr>
        <w:t>She uses her positive attitude and tireless energy to encourage others</w:t>
      </w:r>
      <w:r w:rsidR="009A245B" w:rsidRPr="006238D0">
        <w:rPr>
          <w:rFonts w:ascii="Arial"/>
          <w:sz w:val="14"/>
        </w:rPr>
        <w:t>, especially students</w:t>
      </w:r>
      <w:r w:rsidR="00603695" w:rsidRPr="006238D0">
        <w:rPr>
          <w:rFonts w:ascii="Arial"/>
          <w:sz w:val="14"/>
        </w:rPr>
        <w:t>,</w:t>
      </w:r>
      <w:r w:rsidRPr="006238D0">
        <w:rPr>
          <w:rFonts w:ascii="Arial"/>
          <w:sz w:val="14"/>
        </w:rPr>
        <w:t xml:space="preserve"> to work hard and succeed.</w:t>
      </w:r>
      <w:r w:rsidRPr="006238D0">
        <w:rPr>
          <w:rFonts w:ascii="Arial"/>
          <w:sz w:val="14"/>
        </w:rPr>
        <w:t> </w:t>
      </w:r>
      <w:r w:rsidR="00D6403C" w:rsidRPr="006238D0">
        <w:rPr>
          <w:rFonts w:ascii="Arial"/>
          <w:sz w:val="14"/>
        </w:rPr>
        <w:t xml:space="preserve">Noor authored and co-authored many publications in prestigious journals focused in investigating fatigue behavior and oral environment simulation in testing ceramic materials.  </w:t>
      </w:r>
    </w:p>
    <w:p w:rsidR="00AE3E37" w:rsidRPr="003873E3" w:rsidRDefault="00AE3E37" w:rsidP="003873E3">
      <w:pPr>
        <w:spacing w:before="41"/>
        <w:ind w:left="215" w:right="232"/>
        <w:jc w:val="both"/>
        <w:rPr>
          <w:rFonts w:ascii="Arial"/>
          <w:szCs w:val="36"/>
        </w:rPr>
      </w:pPr>
    </w:p>
    <w:p w:rsidR="00AE3E37" w:rsidRDefault="00A9710C" w:rsidP="008628D8">
      <w:pPr>
        <w:spacing w:before="62"/>
        <w:ind w:left="4217" w:right="4235"/>
        <w:jc w:val="both"/>
        <w:rPr>
          <w:rFonts w:ascii="Arial"/>
          <w:sz w:val="14"/>
        </w:rPr>
      </w:pPr>
      <w:r>
        <w:rPr>
          <w:rFonts w:ascii="Arial"/>
          <w:sz w:val="14"/>
        </w:rPr>
        <w:t>Email:</w:t>
      </w:r>
      <w:r w:rsidR="008628D8">
        <w:rPr>
          <w:rFonts w:ascii="Arial"/>
          <w:sz w:val="14"/>
        </w:rPr>
        <w:t xml:space="preserve"> </w:t>
      </w:r>
      <w:hyperlink r:id="rId9" w:history="1">
        <w:r w:rsidR="008628D8" w:rsidRPr="001F4695">
          <w:rPr>
            <w:rStyle w:val="Hyperlink"/>
            <w:rFonts w:ascii="Arial"/>
            <w:sz w:val="14"/>
          </w:rPr>
          <w:t>nanawafleh@just.edu.jo</w:t>
        </w:r>
      </w:hyperlink>
    </w:p>
    <w:p w:rsidR="00AE3E37" w:rsidRDefault="00292ED9">
      <w:pPr>
        <w:pStyle w:val="BodyText"/>
        <w:spacing w:before="2"/>
        <w:rPr>
          <w:rFonts w:ascii="Arial"/>
          <w:sz w:val="19"/>
        </w:rPr>
      </w:pPr>
      <w:r>
        <w:rPr>
          <w:noProof/>
          <w:lang w:val="en-AU" w:eastAsia="en-AU"/>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274BC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426F6B" w:rsidRDefault="00426F6B" w:rsidP="00F046EA">
      <w:pPr>
        <w:jc w:val="both"/>
        <w:rPr>
          <w:b/>
        </w:rPr>
      </w:pPr>
    </w:p>
    <w:p w:rsidR="00426F6B" w:rsidRDefault="00426F6B" w:rsidP="00F046EA">
      <w:pPr>
        <w:jc w:val="both"/>
        <w:rPr>
          <w:b/>
        </w:rPr>
      </w:pPr>
    </w:p>
    <w:p w:rsidR="00F046EA" w:rsidRPr="0013708E" w:rsidRDefault="00426F6B" w:rsidP="00F046EA">
      <w:pPr>
        <w:jc w:val="both"/>
        <w:rPr>
          <w:b/>
        </w:rPr>
      </w:pPr>
      <w:r>
        <w:rPr>
          <w:b/>
        </w:rPr>
        <w:t>P</w:t>
      </w:r>
      <w:r w:rsidR="00F046EA" w:rsidRPr="0013708E">
        <w:rPr>
          <w:b/>
        </w:rPr>
        <w:t xml:space="preserve">resenting author details </w:t>
      </w:r>
    </w:p>
    <w:p w:rsidR="00F046EA" w:rsidRPr="0013708E" w:rsidRDefault="00F046EA" w:rsidP="00F046EA">
      <w:pPr>
        <w:jc w:val="both"/>
      </w:pPr>
      <w:r w:rsidRPr="0013708E">
        <w:t xml:space="preserve">Full name: </w:t>
      </w:r>
      <w:r w:rsidR="00603695">
        <w:t xml:space="preserve">Noor </w:t>
      </w:r>
      <w:proofErr w:type="spellStart"/>
      <w:r w:rsidR="00603695">
        <w:t>Nawafleh</w:t>
      </w:r>
      <w:proofErr w:type="spellEnd"/>
    </w:p>
    <w:p w:rsidR="00F046EA" w:rsidRDefault="00F046EA" w:rsidP="00F046EA">
      <w:pPr>
        <w:jc w:val="both"/>
      </w:pPr>
      <w:r w:rsidRPr="0013708E">
        <w:t>Contact number:</w:t>
      </w:r>
      <w:r w:rsidR="00603695">
        <w:t xml:space="preserve"> +962772758037</w:t>
      </w:r>
    </w:p>
    <w:p w:rsidR="00F046EA" w:rsidRPr="0013708E" w:rsidRDefault="00F046EA" w:rsidP="00F046EA">
      <w:pPr>
        <w:jc w:val="both"/>
      </w:pPr>
      <w:r>
        <w:t xml:space="preserve">Mail id: </w:t>
      </w:r>
    </w:p>
    <w:p w:rsidR="00F046EA" w:rsidRDefault="00F046EA" w:rsidP="00603695">
      <w:pPr>
        <w:jc w:val="both"/>
      </w:pPr>
      <w:r w:rsidRPr="0013708E">
        <w:t>Category: (Poster presentation)</w:t>
      </w:r>
      <w:r>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5E09" w:rsidRDefault="00535E09">
      <w:r>
        <w:separator/>
      </w:r>
    </w:p>
  </w:endnote>
  <w:endnote w:type="continuationSeparator" w:id="0">
    <w:p w:rsidR="00535E09" w:rsidRDefault="00535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5F13" w:rsidRDefault="00E25F13">
    <w:pPr>
      <w:pStyle w:val="BodyText"/>
      <w:spacing w:line="14" w:lineRule="auto"/>
      <w:rPr>
        <w:sz w:val="20"/>
      </w:rPr>
    </w:pPr>
    <w:r>
      <w:rPr>
        <w:noProof/>
        <w:lang w:val="en-AU" w:eastAsia="en-AU"/>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F13" w:rsidRPr="005B3A56" w:rsidRDefault="00E25F1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E25F13" w:rsidRPr="005B3A56" w:rsidRDefault="00E25F1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E25F13" w:rsidRPr="005B3A56" w:rsidRDefault="00E25F1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E25F13" w:rsidRPr="005B3A56" w:rsidRDefault="00E25F1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F13" w:rsidRPr="005B3A56" w:rsidRDefault="00E25F1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E25F13" w:rsidRPr="005B3A56" w:rsidRDefault="00E25F1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E25F13" w:rsidRPr="005B3A56" w:rsidRDefault="00E25F1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E25F13" w:rsidRPr="005B3A56" w:rsidRDefault="00E25F1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en-AU"/>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25F13" w:rsidRPr="005B3A56" w:rsidRDefault="00E25F1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E25F13" w:rsidRPr="005B3A56" w:rsidRDefault="00E25F1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E25F13" w:rsidRPr="005B3A56" w:rsidRDefault="00E25F1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E25F13" w:rsidRPr="005B3A56" w:rsidRDefault="00E25F1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5E09" w:rsidRDefault="00535E09">
      <w:r>
        <w:separator/>
      </w:r>
    </w:p>
  </w:footnote>
  <w:footnote w:type="continuationSeparator" w:id="0">
    <w:p w:rsidR="00535E09" w:rsidRDefault="00535E0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210CA"/>
    <w:rsid w:val="00292ED9"/>
    <w:rsid w:val="00351D9B"/>
    <w:rsid w:val="00380299"/>
    <w:rsid w:val="003873E3"/>
    <w:rsid w:val="00404E5B"/>
    <w:rsid w:val="00414F7B"/>
    <w:rsid w:val="00426F6B"/>
    <w:rsid w:val="004272FF"/>
    <w:rsid w:val="004355DC"/>
    <w:rsid w:val="004749B4"/>
    <w:rsid w:val="00494130"/>
    <w:rsid w:val="004E03AF"/>
    <w:rsid w:val="004F3523"/>
    <w:rsid w:val="00535E09"/>
    <w:rsid w:val="005973B9"/>
    <w:rsid w:val="005B3A56"/>
    <w:rsid w:val="00603695"/>
    <w:rsid w:val="006060CE"/>
    <w:rsid w:val="0061505C"/>
    <w:rsid w:val="006238D0"/>
    <w:rsid w:val="0063497F"/>
    <w:rsid w:val="00714354"/>
    <w:rsid w:val="00820167"/>
    <w:rsid w:val="00820861"/>
    <w:rsid w:val="008628D8"/>
    <w:rsid w:val="00873DF0"/>
    <w:rsid w:val="008756E6"/>
    <w:rsid w:val="00897EC5"/>
    <w:rsid w:val="008E5477"/>
    <w:rsid w:val="009A245B"/>
    <w:rsid w:val="009B2D44"/>
    <w:rsid w:val="00A07E82"/>
    <w:rsid w:val="00A52075"/>
    <w:rsid w:val="00A9710C"/>
    <w:rsid w:val="00AA285E"/>
    <w:rsid w:val="00AE3E37"/>
    <w:rsid w:val="00B21A57"/>
    <w:rsid w:val="00C33602"/>
    <w:rsid w:val="00C56C74"/>
    <w:rsid w:val="00CD6F55"/>
    <w:rsid w:val="00D6403C"/>
    <w:rsid w:val="00DE3104"/>
    <w:rsid w:val="00DE6170"/>
    <w:rsid w:val="00E25F13"/>
    <w:rsid w:val="00E30AAC"/>
    <w:rsid w:val="00E95D97"/>
    <w:rsid w:val="00EF3F22"/>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F6B02B"/>
  <w15:docId w15:val="{0CE8A996-D594-4273-AFC3-BC7625B34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4E03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anawafleh@just.edu.j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729</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alsalaymeh</cp:lastModifiedBy>
  <cp:revision>6</cp:revision>
  <dcterms:created xsi:type="dcterms:W3CDTF">2021-08-18T16:17:00Z</dcterms:created>
  <dcterms:modified xsi:type="dcterms:W3CDTF">2021-08-18T18:53:00Z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