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59B" w:rsidRDefault="0041673B" w:rsidP="0041673B">
      <w:pPr>
        <w:jc w:val="right"/>
      </w:pPr>
      <w:r w:rsidRPr="0041673B">
        <w:rPr>
          <w:noProof/>
          <w:lang w:eastAsia="en-GB"/>
        </w:rPr>
        <w:drawing>
          <wp:inline distT="0" distB="0" distL="0" distR="0" wp14:anchorId="3995D782" wp14:editId="44795C96">
            <wp:extent cx="1627784" cy="18440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66" t="1446" r="-266" b="16480"/>
                    <a:stretch/>
                  </pic:blipFill>
                  <pic:spPr bwMode="auto">
                    <a:xfrm>
                      <a:off x="0" y="0"/>
                      <a:ext cx="1631786" cy="1848573"/>
                    </a:xfrm>
                    <a:prstGeom prst="rect">
                      <a:avLst/>
                    </a:prstGeom>
                    <a:noFill/>
                    <a:ln>
                      <a:noFill/>
                    </a:ln>
                    <a:extLst>
                      <a:ext uri="{53640926-AAD7-44D8-BBD7-CCE9431645EC}">
                        <a14:shadowObscured xmlns:a14="http://schemas.microsoft.com/office/drawing/2010/main"/>
                      </a:ext>
                    </a:extLst>
                  </pic:spPr>
                </pic:pic>
              </a:graphicData>
            </a:graphic>
          </wp:inline>
        </w:drawing>
      </w:r>
    </w:p>
    <w:p w:rsidR="00F44ECB" w:rsidRDefault="00F44ECB" w:rsidP="0041673B">
      <w:pPr>
        <w:jc w:val="right"/>
      </w:pPr>
    </w:p>
    <w:p w:rsidR="0041673B" w:rsidRPr="0041673B" w:rsidRDefault="0041673B" w:rsidP="0041673B">
      <w:pPr>
        <w:rPr>
          <w:sz w:val="28"/>
          <w:szCs w:val="28"/>
        </w:rPr>
      </w:pPr>
      <w:r w:rsidRPr="0041673B">
        <w:rPr>
          <w:b/>
          <w:sz w:val="28"/>
          <w:szCs w:val="28"/>
        </w:rPr>
        <w:t xml:space="preserve">Title: </w:t>
      </w:r>
      <w:r w:rsidRPr="0041673B">
        <w:rPr>
          <w:sz w:val="28"/>
          <w:szCs w:val="28"/>
        </w:rPr>
        <w:t>Utilising previous radiographs: the forgotten principle of dose optimisation</w:t>
      </w:r>
    </w:p>
    <w:p w:rsidR="00F44ECB" w:rsidRDefault="00F44ECB"/>
    <w:p w:rsidR="00BD5D1E" w:rsidRDefault="00D5759B" w:rsidP="00BD5D1E">
      <w:pPr>
        <w:spacing w:line="240" w:lineRule="auto"/>
        <w:jc w:val="center"/>
      </w:pPr>
      <w:proofErr w:type="spellStart"/>
      <w:r w:rsidRPr="00AD1C19">
        <w:rPr>
          <w:b/>
        </w:rPr>
        <w:t>Farnaz</w:t>
      </w:r>
      <w:proofErr w:type="spellEnd"/>
      <w:r w:rsidRPr="00AD1C19">
        <w:rPr>
          <w:b/>
        </w:rPr>
        <w:t xml:space="preserve"> </w:t>
      </w:r>
      <w:proofErr w:type="spellStart"/>
      <w:r w:rsidRPr="00AD1C19">
        <w:rPr>
          <w:b/>
        </w:rPr>
        <w:t>Akbarian-Tefaghi</w:t>
      </w:r>
      <w:proofErr w:type="spellEnd"/>
    </w:p>
    <w:p w:rsidR="00D5759B" w:rsidRPr="00BD5D1E" w:rsidRDefault="00BD5D1E" w:rsidP="00BD5D1E">
      <w:pPr>
        <w:spacing w:line="240" w:lineRule="auto"/>
        <w:jc w:val="center"/>
      </w:pPr>
      <w:proofErr w:type="spellStart"/>
      <w:r w:rsidRPr="0052044F">
        <w:rPr>
          <w:rFonts w:ascii="Calibri" w:hAnsi="Calibri" w:cs="Calibri"/>
          <w:sz w:val="24"/>
          <w:szCs w:val="24"/>
        </w:rPr>
        <w:t>Barts</w:t>
      </w:r>
      <w:proofErr w:type="spellEnd"/>
      <w:r w:rsidRPr="0052044F">
        <w:rPr>
          <w:rFonts w:ascii="Calibri" w:hAnsi="Calibri" w:cs="Calibri"/>
          <w:sz w:val="24"/>
          <w:szCs w:val="24"/>
        </w:rPr>
        <w:t xml:space="preserve"> and the London School of Medicine and Dentistry, Queen Mary University of</w:t>
      </w:r>
      <w:r>
        <w:rPr>
          <w:rFonts w:ascii="Times New Roman" w:eastAsia="Times New Roman" w:hAnsi="Times New Roman" w:cs="Times New Roman"/>
          <w:sz w:val="24"/>
          <w:szCs w:val="24"/>
          <w:lang w:val="en-NZ" w:eastAsia="it-IT"/>
        </w:rPr>
        <w:t xml:space="preserve"> </w:t>
      </w:r>
      <w:r w:rsidRPr="0052044F">
        <w:rPr>
          <w:rFonts w:ascii="Calibri" w:hAnsi="Calibri" w:cs="Calibri"/>
          <w:sz w:val="24"/>
          <w:szCs w:val="24"/>
        </w:rPr>
        <w:t>London. E1 2AD</w:t>
      </w:r>
    </w:p>
    <w:p w:rsidR="00D5759B" w:rsidRPr="00AD1C19" w:rsidRDefault="00D5759B" w:rsidP="00D5759B">
      <w:pPr>
        <w:autoSpaceDE w:val="0"/>
        <w:autoSpaceDN w:val="0"/>
        <w:adjustRightInd w:val="0"/>
        <w:spacing w:after="0" w:line="240" w:lineRule="auto"/>
        <w:jc w:val="both"/>
        <w:rPr>
          <w:rFonts w:ascii="Calibri" w:hAnsi="Calibri" w:cs="Calibri"/>
          <w:sz w:val="24"/>
          <w:szCs w:val="24"/>
        </w:rPr>
      </w:pPr>
    </w:p>
    <w:p w:rsidR="00D5759B"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The easy access to m</w:t>
      </w:r>
      <w:bookmarkStart w:id="0" w:name="_GoBack"/>
      <w:bookmarkEnd w:id="0"/>
      <w:r w:rsidRPr="00AD1C19">
        <w:rPr>
          <w:rFonts w:ascii="Calibri" w:hAnsi="Calibri" w:cs="Calibri"/>
          <w:sz w:val="24"/>
          <w:szCs w:val="24"/>
        </w:rPr>
        <w:t>edical and dental imaging has made us clinicians more accepting to requesting radiogra</w:t>
      </w:r>
      <w:r w:rsidR="0015339E">
        <w:rPr>
          <w:rFonts w:ascii="Calibri" w:hAnsi="Calibri" w:cs="Calibri"/>
          <w:sz w:val="24"/>
          <w:szCs w:val="24"/>
        </w:rPr>
        <w:t>phic examinations</w:t>
      </w:r>
      <w:r w:rsidRPr="00AD1C19">
        <w:rPr>
          <w:rFonts w:ascii="Calibri" w:hAnsi="Calibri" w:cs="Calibri"/>
          <w:sz w:val="24"/>
          <w:szCs w:val="24"/>
        </w:rPr>
        <w:t xml:space="preserve">. As a result, a steady increase in the use of imaging modalities is leading to an increase in healthcare cost and increase in patients’ radiation exposure. </w:t>
      </w:r>
    </w:p>
    <w:p w:rsidR="00AD1C19" w:rsidRPr="00AD1C19" w:rsidRDefault="00AD1C19" w:rsidP="00D5759B">
      <w:pPr>
        <w:autoSpaceDE w:val="0"/>
        <w:autoSpaceDN w:val="0"/>
        <w:adjustRightInd w:val="0"/>
        <w:spacing w:after="0" w:line="240" w:lineRule="auto"/>
        <w:jc w:val="both"/>
        <w:rPr>
          <w:rFonts w:ascii="Calibri" w:hAnsi="Calibri" w:cs="Calibri"/>
          <w:sz w:val="24"/>
          <w:szCs w:val="24"/>
        </w:rPr>
      </w:pPr>
    </w:p>
    <w:p w:rsidR="00D5759B"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 xml:space="preserve">We present a case where the use of previous imaging has aided the diagnosis and prevented unnecessary exposure to the patient. This is a 67-year-old patient attended for a surgical removal of lower left third molar. A sectioned panoramic radiograph showed an incidental finding of a well-defined, </w:t>
      </w:r>
      <w:proofErr w:type="spellStart"/>
      <w:r w:rsidRPr="00AD1C19">
        <w:rPr>
          <w:rFonts w:ascii="Calibri" w:hAnsi="Calibri" w:cs="Calibri"/>
          <w:sz w:val="24"/>
          <w:szCs w:val="24"/>
        </w:rPr>
        <w:t>unilocular</w:t>
      </w:r>
      <w:proofErr w:type="spellEnd"/>
      <w:r w:rsidRPr="00AD1C19">
        <w:rPr>
          <w:rFonts w:ascii="Calibri" w:hAnsi="Calibri" w:cs="Calibri"/>
          <w:sz w:val="24"/>
          <w:szCs w:val="24"/>
        </w:rPr>
        <w:t xml:space="preserve"> radiolucency measuring 10x7 mm apical to the lower left second and third molars. This was partially superimposed over the outline of the ID canal. A </w:t>
      </w:r>
      <w:proofErr w:type="spellStart"/>
      <w:r w:rsidRPr="00AD1C19">
        <w:rPr>
          <w:rFonts w:ascii="Calibri" w:hAnsi="Calibri" w:cs="Calibri"/>
          <w:sz w:val="24"/>
          <w:szCs w:val="24"/>
        </w:rPr>
        <w:t>Stafne’s</w:t>
      </w:r>
      <w:proofErr w:type="spellEnd"/>
      <w:r w:rsidRPr="00AD1C19">
        <w:rPr>
          <w:rFonts w:ascii="Calibri" w:hAnsi="Calibri" w:cs="Calibri"/>
          <w:sz w:val="24"/>
          <w:szCs w:val="24"/>
        </w:rPr>
        <w:t xml:space="preserve"> bone cavity (SBC) was consider</w:t>
      </w:r>
      <w:r w:rsidR="0015339E">
        <w:rPr>
          <w:rFonts w:ascii="Calibri" w:hAnsi="Calibri" w:cs="Calibri"/>
          <w:sz w:val="24"/>
          <w:szCs w:val="24"/>
        </w:rPr>
        <w:t>ed as the most likely diagnosis</w:t>
      </w:r>
      <w:r w:rsidRPr="00AD1C19">
        <w:rPr>
          <w:rFonts w:ascii="Calibri" w:hAnsi="Calibri" w:cs="Calibri"/>
          <w:sz w:val="24"/>
          <w:szCs w:val="24"/>
        </w:rPr>
        <w:t>. Further imaging was considered due to location not being fully below the ID canal as usually described in the literature. A radiologist opinion was sought. Reviewing previous imaging on PACS revealed the patient has had a CT Angiogram of the head and neck five years prior. This showed a lingual bone defect of the surface of the mandible in the region of interest. The extension of the submandibular gland into the defect confirmed the likely nature of SBC. This is a benign condition also known as lingua</w:t>
      </w:r>
      <w:r w:rsidR="0015339E">
        <w:rPr>
          <w:rFonts w:ascii="Calibri" w:hAnsi="Calibri" w:cs="Calibri"/>
          <w:sz w:val="24"/>
          <w:szCs w:val="24"/>
        </w:rPr>
        <w:t>l mandibular bone defect (LMBD)</w:t>
      </w:r>
      <w:r w:rsidRPr="00AD1C19">
        <w:rPr>
          <w:rFonts w:ascii="Calibri" w:hAnsi="Calibri" w:cs="Calibri"/>
          <w:sz w:val="24"/>
          <w:szCs w:val="24"/>
        </w:rPr>
        <w:t xml:space="preserve">. </w:t>
      </w:r>
    </w:p>
    <w:p w:rsidR="00AD1C19" w:rsidRPr="00AD1C19" w:rsidRDefault="00AD1C19" w:rsidP="00D5759B">
      <w:pPr>
        <w:autoSpaceDE w:val="0"/>
        <w:autoSpaceDN w:val="0"/>
        <w:adjustRightInd w:val="0"/>
        <w:spacing w:after="0" w:line="240" w:lineRule="auto"/>
        <w:jc w:val="both"/>
        <w:rPr>
          <w:rFonts w:ascii="Calibri" w:hAnsi="Calibri" w:cs="Calibri"/>
          <w:sz w:val="24"/>
          <w:szCs w:val="24"/>
        </w:rPr>
      </w:pPr>
    </w:p>
    <w:p w:rsidR="00D5759B" w:rsidRPr="00AD1C19"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All examinations have to be justified to ensure the benefit to the patient outweigh the risk and should be optimised to ensure radiation exposures are kept as low as reasonably achievable.</w:t>
      </w:r>
    </w:p>
    <w:p w:rsidR="00D5759B" w:rsidRDefault="00D5759B"/>
    <w:p w:rsidR="00D5759B" w:rsidRDefault="00391D02">
      <w:r>
        <w:rPr>
          <w:noProof/>
          <w:lang w:eastAsia="en-GB"/>
        </w:rPr>
        <w:lastRenderedPageBreak/>
        <mc:AlternateContent>
          <mc:Choice Requires="wps">
            <w:drawing>
              <wp:anchor distT="0" distB="0" distL="114300" distR="114300" simplePos="0" relativeHeight="251662336" behindDoc="0" locked="0" layoutInCell="1" allowOverlap="1" wp14:anchorId="5A16C0B2" wp14:editId="35EB51E5">
                <wp:simplePos x="0" y="0"/>
                <wp:positionH relativeFrom="column">
                  <wp:posOffset>3086100</wp:posOffset>
                </wp:positionH>
                <wp:positionV relativeFrom="paragraph">
                  <wp:posOffset>3810635</wp:posOffset>
                </wp:positionV>
                <wp:extent cx="160020" cy="457200"/>
                <wp:effectExtent l="19050" t="19050" r="11430" b="19050"/>
                <wp:wrapNone/>
                <wp:docPr id="7" name="Up Arrow 7"/>
                <wp:cNvGraphicFramePr/>
                <a:graphic xmlns:a="http://schemas.openxmlformats.org/drawingml/2006/main">
                  <a:graphicData uri="http://schemas.microsoft.com/office/word/2010/wordprocessingShape">
                    <wps:wsp>
                      <wps:cNvSpPr/>
                      <wps:spPr>
                        <a:xfrm>
                          <a:off x="0" y="0"/>
                          <a:ext cx="160020" cy="4572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A3663A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7" o:spid="_x0000_s1026" type="#_x0000_t68" style="position:absolute;margin-left:243pt;margin-top:300.05pt;width:12.6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" adj="3780" fillcolor="#5b9bd5 [3204]" strokecolor="#1f4d78 [1604]" strokeweight="1pt"/>
            </w:pict>
          </mc:Fallback>
        </mc:AlternateContent>
      </w:r>
      <w:r>
        <w:rPr>
          <w:noProof/>
          <w:lang w:eastAsia="en-GB"/>
        </w:rPr>
        <mc:AlternateContent>
          <mc:Choice Requires="wps">
            <w:drawing>
              <wp:anchor distT="0" distB="0" distL="114300" distR="114300" simplePos="0" relativeHeight="251659264" behindDoc="0" locked="0" layoutInCell="1" allowOverlap="1" wp14:anchorId="26A94797" wp14:editId="472C2194">
                <wp:simplePos x="0" y="0"/>
                <wp:positionH relativeFrom="column">
                  <wp:posOffset>1287780</wp:posOffset>
                </wp:positionH>
                <wp:positionV relativeFrom="paragraph">
                  <wp:posOffset>3650615</wp:posOffset>
                </wp:positionV>
                <wp:extent cx="510540" cy="144780"/>
                <wp:effectExtent l="19050" t="19050" r="22860" b="45720"/>
                <wp:wrapNone/>
                <wp:docPr id="4" name="Left Arrow 4"/>
                <wp:cNvGraphicFramePr/>
                <a:graphic xmlns:a="http://schemas.openxmlformats.org/drawingml/2006/main">
                  <a:graphicData uri="http://schemas.microsoft.com/office/word/2010/wordprocessingShape">
                    <wps:wsp>
                      <wps:cNvSpPr/>
                      <wps:spPr>
                        <a:xfrm>
                          <a:off x="0" y="0"/>
                          <a:ext cx="510540" cy="14478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E48095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4" o:spid="_x0000_s1026" type="#_x0000_t66" style="position:absolute;margin-left:101.4pt;margin-top:287.45pt;width:40.2pt;height:1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" adj="3063" fillcolor="#5b9bd5 [3204]" strokecolor="#1f4d78 [1604]" strokeweight="1pt"/>
            </w:pict>
          </mc:Fallback>
        </mc:AlternateContent>
      </w:r>
      <w:r>
        <w:rPr>
          <w:noProof/>
          <w:lang w:eastAsia="en-GB"/>
        </w:rPr>
        <mc:AlternateContent>
          <mc:Choice Requires="wps">
            <w:drawing>
              <wp:anchor distT="0" distB="0" distL="114300" distR="114300" simplePos="0" relativeHeight="251660288" behindDoc="0" locked="0" layoutInCell="1" allowOverlap="1" wp14:anchorId="03110DAD" wp14:editId="40465055">
                <wp:simplePos x="0" y="0"/>
                <wp:positionH relativeFrom="column">
                  <wp:posOffset>1325880</wp:posOffset>
                </wp:positionH>
                <wp:positionV relativeFrom="paragraph">
                  <wp:posOffset>1014095</wp:posOffset>
                </wp:positionV>
                <wp:extent cx="472440" cy="137160"/>
                <wp:effectExtent l="0" t="19050" r="41910" b="34290"/>
                <wp:wrapNone/>
                <wp:docPr id="5" name="Right Arrow 5"/>
                <wp:cNvGraphicFramePr/>
                <a:graphic xmlns:a="http://schemas.openxmlformats.org/drawingml/2006/main">
                  <a:graphicData uri="http://schemas.microsoft.com/office/word/2010/wordprocessingShape">
                    <wps:wsp>
                      <wps:cNvSpPr/>
                      <wps:spPr>
                        <a:xfrm>
                          <a:off x="0" y="0"/>
                          <a:ext cx="472440" cy="1371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5BCE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104.4pt;margin-top:79.85pt;width:37.2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" adj="18465" fillcolor="#5b9bd5 [3204]" strokecolor="#1f4d78 [1604]" strokeweight="1pt"/>
            </w:pict>
          </mc:Fallback>
        </mc:AlternateContent>
      </w:r>
      <w:r>
        <w:rPr>
          <w:noProof/>
          <w:lang w:eastAsia="en-GB"/>
        </w:rPr>
        <mc:AlternateContent>
          <mc:Choice Requires="wps">
            <w:drawing>
              <wp:anchor distT="0" distB="0" distL="114300" distR="114300" simplePos="0" relativeHeight="251661312" behindDoc="0" locked="0" layoutInCell="1" allowOverlap="1" wp14:anchorId="6484A658" wp14:editId="4FEE6A2A">
                <wp:simplePos x="0" y="0"/>
                <wp:positionH relativeFrom="column">
                  <wp:posOffset>4038600</wp:posOffset>
                </wp:positionH>
                <wp:positionV relativeFrom="paragraph">
                  <wp:posOffset>1028700</wp:posOffset>
                </wp:positionV>
                <wp:extent cx="708660" cy="213360"/>
                <wp:effectExtent l="0" t="19050" r="34290" b="34290"/>
                <wp:wrapNone/>
                <wp:docPr id="6" name="Right Arrow 6"/>
                <wp:cNvGraphicFramePr/>
                <a:graphic xmlns:a="http://schemas.openxmlformats.org/drawingml/2006/main">
                  <a:graphicData uri="http://schemas.microsoft.com/office/word/2010/wordprocessingShape">
                    <wps:wsp>
                      <wps:cNvSpPr/>
                      <wps:spPr>
                        <a:xfrm>
                          <a:off x="0" y="0"/>
                          <a:ext cx="708660" cy="2133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04257" id="Right Arrow 6" o:spid="_x0000_s1026" type="#_x0000_t13" style="position:absolute;margin-left:318pt;margin-top:81pt;width:55.8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" adj="18348" fillcolor="#5b9bd5 [3204]" strokecolor="#1f4d78 [1604]" strokeweight="1pt"/>
            </w:pict>
          </mc:Fallback>
        </mc:AlternateContent>
      </w:r>
      <w:r w:rsidR="00F72B91" w:rsidRPr="0061101F">
        <w:rPr>
          <w:noProof/>
          <w:lang w:eastAsia="en-GB"/>
        </w:rPr>
        <w:drawing>
          <wp:inline distT="0" distB="0" distL="0" distR="0" wp14:anchorId="086BB231" wp14:editId="269FA89E">
            <wp:extent cx="5440680" cy="4351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0680" cy="4351020"/>
                    </a:xfrm>
                    <a:prstGeom prst="rect">
                      <a:avLst/>
                    </a:prstGeom>
                    <a:noFill/>
                    <a:ln>
                      <a:noFill/>
                    </a:ln>
                  </pic:spPr>
                </pic:pic>
              </a:graphicData>
            </a:graphic>
          </wp:inline>
        </w:drawing>
      </w:r>
    </w:p>
    <w:p w:rsidR="00D5759B" w:rsidRDefault="00D5759B"/>
    <w:p w:rsidR="0061101F" w:rsidRDefault="00A15C7C" w:rsidP="00391D02">
      <w:pPr>
        <w:spacing w:after="0" w:line="240" w:lineRule="auto"/>
      </w:pPr>
      <w:r>
        <w:t>A: sectioned panoramic Radiograph</w:t>
      </w:r>
    </w:p>
    <w:p w:rsidR="0061101F" w:rsidRDefault="00A15C7C" w:rsidP="00391D02">
      <w:pPr>
        <w:spacing w:after="0" w:line="240" w:lineRule="auto"/>
      </w:pPr>
      <w:r>
        <w:t>B, C: C</w:t>
      </w:r>
      <w:r w:rsidR="0061101F">
        <w:t>onstructed images of CT angiogram</w:t>
      </w:r>
    </w:p>
    <w:p w:rsidR="00F72B91" w:rsidRDefault="00A15C7C" w:rsidP="00391D02">
      <w:pPr>
        <w:spacing w:after="0" w:line="240" w:lineRule="auto"/>
      </w:pPr>
      <w:r>
        <w:t>D: 3D I</w:t>
      </w:r>
      <w:r w:rsidR="0061101F">
        <w:t>mage of mandible (constructed from CT angiogram)</w:t>
      </w:r>
    </w:p>
    <w:p w:rsidR="00F72B91" w:rsidRDefault="00D33FC6" w:rsidP="00391D02">
      <w:pPr>
        <w:spacing w:after="0" w:line="240" w:lineRule="auto"/>
      </w:pPr>
      <w:r>
        <w:t>Blue arrows indicate the lesion (</w:t>
      </w:r>
      <w:proofErr w:type="spellStart"/>
      <w:r w:rsidRPr="00AD1C19">
        <w:rPr>
          <w:rFonts w:ascii="Calibri" w:hAnsi="Calibri" w:cs="Calibri"/>
          <w:sz w:val="24"/>
          <w:szCs w:val="24"/>
        </w:rPr>
        <w:t>Stafne’s</w:t>
      </w:r>
      <w:proofErr w:type="spellEnd"/>
      <w:r w:rsidRPr="00AD1C19">
        <w:rPr>
          <w:rFonts w:ascii="Calibri" w:hAnsi="Calibri" w:cs="Calibri"/>
          <w:sz w:val="24"/>
          <w:szCs w:val="24"/>
        </w:rPr>
        <w:t xml:space="preserve"> bone cavity (SBC)</w:t>
      </w:r>
      <w:r w:rsidR="00F72B91" w:rsidRPr="00F72B91">
        <w:t xml:space="preserve"> </w:t>
      </w:r>
    </w:p>
    <w:p w:rsidR="00F72B91" w:rsidRDefault="00F72B91" w:rsidP="00F72B91">
      <w:pPr>
        <w:spacing w:line="240" w:lineRule="auto"/>
        <w:jc w:val="center"/>
      </w:pPr>
    </w:p>
    <w:p w:rsidR="00F72B91" w:rsidRDefault="00F72B91" w:rsidP="00F72B91">
      <w:pPr>
        <w:spacing w:line="240" w:lineRule="auto"/>
        <w:jc w:val="center"/>
      </w:pPr>
    </w:p>
    <w:p w:rsidR="00F72B91" w:rsidRDefault="000663CA" w:rsidP="000663CA">
      <w:pPr>
        <w:spacing w:line="240" w:lineRule="auto"/>
      </w:pPr>
      <w:r>
        <w:t>Biography:</w:t>
      </w:r>
    </w:p>
    <w:p w:rsidR="000663CA" w:rsidRDefault="000663CA" w:rsidP="000663CA">
      <w:pPr>
        <w:spacing w:line="240" w:lineRule="auto"/>
      </w:pPr>
      <w:proofErr w:type="spellStart"/>
      <w:r>
        <w:t>Farnaz</w:t>
      </w:r>
      <w:proofErr w:type="spellEnd"/>
      <w:r>
        <w:t xml:space="preserve"> </w:t>
      </w:r>
      <w:proofErr w:type="spellStart"/>
      <w:r>
        <w:t>Akbarian</w:t>
      </w:r>
      <w:proofErr w:type="spellEnd"/>
      <w:r>
        <w:t xml:space="preserve"> </w:t>
      </w:r>
      <w:proofErr w:type="spellStart"/>
      <w:r>
        <w:t>Tefaghi</w:t>
      </w:r>
      <w:proofErr w:type="spellEnd"/>
      <w:r>
        <w:t xml:space="preserve"> has finished her BDS in 2008 in king’s college London University and then carried out SHO training in king’s college hospital and Germany for few years in Paediatric </w:t>
      </w:r>
      <w:proofErr w:type="spellStart"/>
      <w:r>
        <w:t>dentisry</w:t>
      </w:r>
      <w:proofErr w:type="spellEnd"/>
      <w:r>
        <w:t>, Oral Medicine, orthodontics, oral and maxillofacial surgery and oral surgery and then joined Queen Mary university London to pursue a career in dental and maxillofacial Radiology.</w:t>
      </w:r>
    </w:p>
    <w:p w:rsidR="00F72B91" w:rsidRDefault="00F72B91" w:rsidP="00F72B91">
      <w:pPr>
        <w:spacing w:line="240" w:lineRule="auto"/>
        <w:jc w:val="center"/>
      </w:pPr>
    </w:p>
    <w:p w:rsidR="00F72B91" w:rsidRDefault="009E0F7C" w:rsidP="009E0F7C">
      <w:pPr>
        <w:spacing w:line="240" w:lineRule="auto"/>
      </w:pPr>
      <w:r>
        <w:t>Fist author:</w:t>
      </w:r>
    </w:p>
    <w:p w:rsidR="009E0F7C" w:rsidRPr="009E0F7C" w:rsidRDefault="009E0F7C" w:rsidP="009E0F7C">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9E0F7C">
        <w:rPr>
          <w:rFonts w:ascii="Times New Roman" w:eastAsia="Times New Roman" w:hAnsi="Times New Roman" w:cs="Times New Roman"/>
          <w:sz w:val="24"/>
          <w:szCs w:val="24"/>
          <w:lang w:val="en-NZ" w:eastAsia="it-IT"/>
        </w:rPr>
        <w:t xml:space="preserve">Full name: </w:t>
      </w:r>
      <w:proofErr w:type="spellStart"/>
      <w:r>
        <w:rPr>
          <w:rFonts w:ascii="Times New Roman" w:eastAsia="Times New Roman" w:hAnsi="Times New Roman" w:cs="Times New Roman"/>
          <w:sz w:val="24"/>
          <w:szCs w:val="24"/>
          <w:lang w:val="en-NZ" w:eastAsia="it-IT"/>
        </w:rPr>
        <w:t>Farnaz</w:t>
      </w:r>
      <w:proofErr w:type="spellEnd"/>
      <w:r>
        <w:rPr>
          <w:rFonts w:ascii="Times New Roman" w:eastAsia="Times New Roman" w:hAnsi="Times New Roman" w:cs="Times New Roman"/>
          <w:sz w:val="24"/>
          <w:szCs w:val="24"/>
          <w:lang w:val="en-NZ" w:eastAsia="it-IT"/>
        </w:rPr>
        <w:t xml:space="preserve"> </w:t>
      </w:r>
      <w:proofErr w:type="spellStart"/>
      <w:r>
        <w:rPr>
          <w:rFonts w:ascii="Times New Roman" w:eastAsia="Times New Roman" w:hAnsi="Times New Roman" w:cs="Times New Roman"/>
          <w:sz w:val="24"/>
          <w:szCs w:val="24"/>
          <w:lang w:val="en-NZ" w:eastAsia="it-IT"/>
        </w:rPr>
        <w:t>Akbarian</w:t>
      </w:r>
      <w:proofErr w:type="spellEnd"/>
      <w:r>
        <w:rPr>
          <w:rFonts w:ascii="Times New Roman" w:eastAsia="Times New Roman" w:hAnsi="Times New Roman" w:cs="Times New Roman"/>
          <w:sz w:val="24"/>
          <w:szCs w:val="24"/>
          <w:lang w:val="en-NZ" w:eastAsia="it-IT"/>
        </w:rPr>
        <w:t xml:space="preserve"> </w:t>
      </w:r>
      <w:proofErr w:type="spellStart"/>
      <w:proofErr w:type="gramStart"/>
      <w:r>
        <w:rPr>
          <w:rFonts w:ascii="Times New Roman" w:eastAsia="Times New Roman" w:hAnsi="Times New Roman" w:cs="Times New Roman"/>
          <w:sz w:val="24"/>
          <w:szCs w:val="24"/>
          <w:lang w:val="en-NZ" w:eastAsia="it-IT"/>
        </w:rPr>
        <w:t>Tefaghi</w:t>
      </w:r>
      <w:proofErr w:type="spellEnd"/>
      <w:r w:rsidR="0052044F">
        <w:rPr>
          <w:rFonts w:ascii="Times New Roman" w:eastAsia="Times New Roman" w:hAnsi="Times New Roman" w:cs="Times New Roman"/>
          <w:sz w:val="24"/>
          <w:szCs w:val="24"/>
          <w:lang w:val="en-NZ" w:eastAsia="it-IT"/>
        </w:rPr>
        <w:t xml:space="preserve"> </w:t>
      </w:r>
      <w:r w:rsidR="0052044F" w:rsidRPr="0052044F">
        <w:rPr>
          <w:rFonts w:ascii="Calibri" w:hAnsi="Calibri" w:cs="Calibri"/>
          <w:sz w:val="24"/>
          <w:szCs w:val="24"/>
        </w:rPr>
        <w:t>:Lecturer</w:t>
      </w:r>
      <w:proofErr w:type="gramEnd"/>
      <w:r w:rsidR="0052044F" w:rsidRPr="0052044F">
        <w:rPr>
          <w:rFonts w:ascii="Calibri" w:hAnsi="Calibri" w:cs="Calibri"/>
          <w:sz w:val="24"/>
          <w:szCs w:val="24"/>
        </w:rPr>
        <w:t xml:space="preserve"> in Dental and Maxillofacial Radiology. Institute of</w:t>
      </w:r>
      <w:r w:rsidR="0052044F">
        <w:rPr>
          <w:rFonts w:ascii="Times New Roman" w:eastAsia="Times New Roman" w:hAnsi="Times New Roman" w:cs="Times New Roman"/>
          <w:sz w:val="24"/>
          <w:szCs w:val="24"/>
          <w:lang w:val="en-NZ" w:eastAsia="it-IT"/>
        </w:rPr>
        <w:t xml:space="preserve"> </w:t>
      </w:r>
      <w:r w:rsidR="0052044F" w:rsidRPr="0052044F">
        <w:rPr>
          <w:rFonts w:ascii="Calibri" w:hAnsi="Calibri" w:cs="Calibri"/>
          <w:sz w:val="24"/>
          <w:szCs w:val="24"/>
        </w:rPr>
        <w:t xml:space="preserve">Dentistry, </w:t>
      </w:r>
      <w:proofErr w:type="spellStart"/>
      <w:r w:rsidR="0052044F" w:rsidRPr="0052044F">
        <w:rPr>
          <w:rFonts w:ascii="Calibri" w:hAnsi="Calibri" w:cs="Calibri"/>
          <w:sz w:val="24"/>
          <w:szCs w:val="24"/>
        </w:rPr>
        <w:t>Barts</w:t>
      </w:r>
      <w:proofErr w:type="spellEnd"/>
      <w:r w:rsidR="0052044F" w:rsidRPr="0052044F">
        <w:rPr>
          <w:rFonts w:ascii="Calibri" w:hAnsi="Calibri" w:cs="Calibri"/>
          <w:sz w:val="24"/>
          <w:szCs w:val="24"/>
        </w:rPr>
        <w:t xml:space="preserve"> and the London School of Medicine and Dentistry, Queen Mary University of</w:t>
      </w:r>
      <w:r w:rsidR="0052044F">
        <w:rPr>
          <w:rFonts w:ascii="Times New Roman" w:eastAsia="Times New Roman" w:hAnsi="Times New Roman" w:cs="Times New Roman"/>
          <w:sz w:val="24"/>
          <w:szCs w:val="24"/>
          <w:lang w:val="en-NZ" w:eastAsia="it-IT"/>
        </w:rPr>
        <w:t xml:space="preserve"> </w:t>
      </w:r>
      <w:r w:rsidR="0052044F" w:rsidRPr="0052044F">
        <w:rPr>
          <w:rFonts w:ascii="Calibri" w:hAnsi="Calibri" w:cs="Calibri"/>
          <w:sz w:val="24"/>
          <w:szCs w:val="24"/>
        </w:rPr>
        <w:t>London. E1 2AD</w:t>
      </w:r>
      <w:r w:rsidRPr="009E0F7C">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00447377552344, email: f.akbarian-tefaghi@qmul.ac.uk</w:t>
      </w:r>
      <w:r w:rsidRPr="009E0F7C">
        <w:rPr>
          <w:rFonts w:ascii="Times New Roman" w:eastAsia="Times New Roman" w:hAnsi="Times New Roman" w:cs="Times New Roman"/>
          <w:sz w:val="24"/>
          <w:szCs w:val="24"/>
          <w:lang w:val="en-NZ" w:eastAsia="it-IT"/>
        </w:rPr>
        <w:br/>
        <w:t>Category: (Poster presentation)</w:t>
      </w:r>
      <w:r w:rsidRPr="009E0F7C">
        <w:rPr>
          <w:rFonts w:ascii="Times New Roman" w:eastAsia="Times New Roman" w:hAnsi="Times New Roman" w:cs="Times New Roman"/>
          <w:sz w:val="24"/>
          <w:szCs w:val="24"/>
          <w:lang w:val="en-NZ" w:eastAsia="it-IT"/>
        </w:rPr>
        <w:br/>
      </w:r>
    </w:p>
    <w:p w:rsidR="009E0F7C" w:rsidRDefault="009E0F7C" w:rsidP="00F72B91">
      <w:pPr>
        <w:spacing w:line="240" w:lineRule="auto"/>
        <w:jc w:val="center"/>
      </w:pPr>
    </w:p>
    <w:p w:rsidR="0052044F" w:rsidRDefault="009E0F7C" w:rsidP="009E0F7C">
      <w:pPr>
        <w:spacing w:line="240" w:lineRule="auto"/>
      </w:pPr>
      <w:r>
        <w:lastRenderedPageBreak/>
        <w:t xml:space="preserve">Co </w:t>
      </w:r>
      <w:proofErr w:type="gramStart"/>
      <w:r>
        <w:t>Authors :</w:t>
      </w:r>
      <w:proofErr w:type="gramEnd"/>
      <w:r>
        <w:t xml:space="preserve"> </w:t>
      </w:r>
    </w:p>
    <w:p w:rsidR="0052044F" w:rsidRPr="0052044F" w:rsidRDefault="0052044F" w:rsidP="0052044F">
      <w:pPr>
        <w:rPr>
          <w:rFonts w:ascii="Calibri" w:hAnsi="Calibri" w:cs="Calibri"/>
          <w:sz w:val="24"/>
          <w:szCs w:val="24"/>
        </w:rPr>
      </w:pPr>
      <w:r w:rsidRPr="0052044F">
        <w:rPr>
          <w:rFonts w:ascii="Calibri" w:hAnsi="Calibri" w:cs="Calibri"/>
          <w:sz w:val="24"/>
          <w:szCs w:val="24"/>
        </w:rPr>
        <w:t xml:space="preserve">Ashok Adams: consultant ENT/ </w:t>
      </w:r>
      <w:proofErr w:type="spellStart"/>
      <w:r w:rsidRPr="0052044F">
        <w:rPr>
          <w:rFonts w:ascii="Calibri" w:hAnsi="Calibri" w:cs="Calibri"/>
          <w:sz w:val="24"/>
          <w:szCs w:val="24"/>
        </w:rPr>
        <w:t>Neuroradiologist</w:t>
      </w:r>
      <w:proofErr w:type="spellEnd"/>
      <w:r w:rsidRPr="0052044F">
        <w:rPr>
          <w:rFonts w:ascii="Calibri" w:hAnsi="Calibri" w:cs="Calibri"/>
          <w:sz w:val="24"/>
          <w:szCs w:val="24"/>
        </w:rPr>
        <w:t>. The Royal London Hospital, Whitechapel</w:t>
      </w:r>
    </w:p>
    <w:p w:rsidR="0052044F" w:rsidRPr="0052044F" w:rsidRDefault="0052044F" w:rsidP="0052044F">
      <w:pPr>
        <w:rPr>
          <w:rFonts w:ascii="Calibri" w:hAnsi="Calibri" w:cs="Calibri"/>
          <w:sz w:val="24"/>
          <w:szCs w:val="24"/>
        </w:rPr>
      </w:pPr>
      <w:r w:rsidRPr="0052044F">
        <w:rPr>
          <w:rFonts w:ascii="Calibri" w:hAnsi="Calibri" w:cs="Calibri"/>
          <w:sz w:val="24"/>
          <w:szCs w:val="24"/>
        </w:rPr>
        <w:t>Rd, London E1 1BB.</w:t>
      </w:r>
    </w:p>
    <w:p w:rsidR="0052044F" w:rsidRPr="0052044F" w:rsidRDefault="0052044F" w:rsidP="0052044F">
      <w:pPr>
        <w:rPr>
          <w:rFonts w:ascii="Calibri" w:hAnsi="Calibri" w:cs="Calibri"/>
          <w:sz w:val="24"/>
          <w:szCs w:val="24"/>
        </w:rPr>
      </w:pPr>
      <w:r w:rsidRPr="0052044F">
        <w:rPr>
          <w:rFonts w:ascii="Calibri" w:hAnsi="Calibri" w:cs="Calibri"/>
          <w:sz w:val="24"/>
          <w:szCs w:val="24"/>
        </w:rPr>
        <w:t>Jimmy Makdissi: Consultant in Dental and Maxillofacial Radiology. Institute of Dentistry,</w:t>
      </w:r>
    </w:p>
    <w:p w:rsidR="0052044F" w:rsidRPr="0052044F" w:rsidRDefault="0052044F" w:rsidP="0052044F">
      <w:pPr>
        <w:rPr>
          <w:rFonts w:ascii="Calibri" w:hAnsi="Calibri" w:cs="Calibri"/>
          <w:sz w:val="24"/>
          <w:szCs w:val="24"/>
        </w:rPr>
      </w:pPr>
      <w:proofErr w:type="spellStart"/>
      <w:r w:rsidRPr="0052044F">
        <w:rPr>
          <w:rFonts w:ascii="Calibri" w:hAnsi="Calibri" w:cs="Calibri"/>
          <w:sz w:val="24"/>
          <w:szCs w:val="24"/>
        </w:rPr>
        <w:t>Barts</w:t>
      </w:r>
      <w:proofErr w:type="spellEnd"/>
      <w:r w:rsidRPr="0052044F">
        <w:rPr>
          <w:rFonts w:ascii="Calibri" w:hAnsi="Calibri" w:cs="Calibri"/>
          <w:sz w:val="24"/>
          <w:szCs w:val="24"/>
        </w:rPr>
        <w:t xml:space="preserve"> and the London School of Medicine and Dentistry, Queen Mary University of London.</w:t>
      </w:r>
    </w:p>
    <w:p w:rsidR="0052044F" w:rsidRDefault="0052044F" w:rsidP="0052044F">
      <w:pPr>
        <w:rPr>
          <w:rFonts w:ascii="Calibri" w:hAnsi="Calibri" w:cs="Calibri"/>
          <w:sz w:val="24"/>
          <w:szCs w:val="24"/>
        </w:rPr>
      </w:pPr>
      <w:r w:rsidRPr="0052044F">
        <w:rPr>
          <w:rFonts w:ascii="Calibri" w:hAnsi="Calibri" w:cs="Calibri"/>
          <w:sz w:val="24"/>
          <w:szCs w:val="24"/>
        </w:rPr>
        <w:t>E1 2AD.</w:t>
      </w:r>
    </w:p>
    <w:p w:rsidR="0052044F" w:rsidRDefault="0052044F" w:rsidP="0052044F">
      <w:pPr>
        <w:rPr>
          <w:rFonts w:ascii="Calibri" w:hAnsi="Calibri" w:cs="Calibri"/>
          <w:sz w:val="24"/>
          <w:szCs w:val="24"/>
        </w:rPr>
      </w:pPr>
    </w:p>
    <w:p w:rsidR="0052044F" w:rsidRDefault="0052044F" w:rsidP="009E0F7C">
      <w:pPr>
        <w:spacing w:line="240" w:lineRule="auto"/>
      </w:pPr>
    </w:p>
    <w:p w:rsidR="00F72B91" w:rsidRDefault="00F72B91" w:rsidP="00D33FC6">
      <w:pPr>
        <w:rPr>
          <w:rFonts w:ascii="Calibri" w:hAnsi="Calibri" w:cs="Calibri"/>
          <w:sz w:val="24"/>
          <w:szCs w:val="24"/>
        </w:rPr>
      </w:pPr>
    </w:p>
    <w:p w:rsidR="00F72B91" w:rsidRDefault="00F72B91" w:rsidP="00D33FC6"/>
    <w:sectPr w:rsidR="00F72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EEE"/>
    <w:rsid w:val="000663CA"/>
    <w:rsid w:val="0015339E"/>
    <w:rsid w:val="002B6BE5"/>
    <w:rsid w:val="00391D02"/>
    <w:rsid w:val="0041673B"/>
    <w:rsid w:val="0052044F"/>
    <w:rsid w:val="0061101F"/>
    <w:rsid w:val="00661DBC"/>
    <w:rsid w:val="007D3328"/>
    <w:rsid w:val="007E199B"/>
    <w:rsid w:val="007E1EEE"/>
    <w:rsid w:val="008628FC"/>
    <w:rsid w:val="00905AF5"/>
    <w:rsid w:val="009E0F7C"/>
    <w:rsid w:val="009F5C7D"/>
    <w:rsid w:val="00A15B04"/>
    <w:rsid w:val="00A15C7C"/>
    <w:rsid w:val="00AD1C19"/>
    <w:rsid w:val="00BD413D"/>
    <w:rsid w:val="00BD5D1E"/>
    <w:rsid w:val="00D3096A"/>
    <w:rsid w:val="00D33FC6"/>
    <w:rsid w:val="00D5759B"/>
    <w:rsid w:val="00EC2C9F"/>
    <w:rsid w:val="00F44ECB"/>
    <w:rsid w:val="00F72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AD983"/>
  <w15:chartTrackingRefBased/>
  <w15:docId w15:val="{CF7587C0-6083-4F61-B2B5-15791DFD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w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 Akbarian-Tefaghi</dc:creator>
  <cp:keywords/>
  <dc:description/>
  <cp:lastModifiedBy>Jimmy Makdissi</cp:lastModifiedBy>
  <cp:revision>3</cp:revision>
  <dcterms:created xsi:type="dcterms:W3CDTF">2019-11-22T16:27:00Z</dcterms:created>
  <dcterms:modified xsi:type="dcterms:W3CDTF">2019-11-22T16:28:00Z</dcterms:modified>
</cp:coreProperties>
</file>