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80B" w:rsidRPr="00C1129C" w:rsidRDefault="0094680B" w:rsidP="0094680B">
      <w:pPr>
        <w:autoSpaceDE w:val="0"/>
        <w:autoSpaceDN w:val="0"/>
        <w:adjustRightInd w:val="0"/>
        <w:jc w:val="right"/>
        <w:rPr>
          <w:rFonts w:asciiTheme="majorBidi" w:hAnsiTheme="majorBidi" w:cstheme="majorBidi"/>
          <w:sz w:val="24"/>
          <w:szCs w:val="24"/>
          <w:lang w:val="en-NZ"/>
        </w:rPr>
      </w:pPr>
      <w:r w:rsidRPr="00C1129C">
        <w:rPr>
          <w:rFonts w:asciiTheme="majorBidi" w:hAnsiTheme="majorBidi" w:cstheme="majorBidi"/>
          <w:noProof/>
          <w:sz w:val="24"/>
          <w:szCs w:val="24"/>
        </w:rPr>
        <w:drawing>
          <wp:inline distT="0" distB="0" distL="0" distR="0">
            <wp:extent cx="1344930" cy="1352550"/>
            <wp:effectExtent l="19050" t="0" r="7620" b="0"/>
            <wp:docPr id="11" name="Picture 2" descr="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
                    <pic:cNvPicPr>
                      <a:picLocks noChangeAspect="1" noChangeArrowheads="1"/>
                    </pic:cNvPicPr>
                  </pic:nvPicPr>
                  <pic:blipFill>
                    <a:blip r:embed="rId6"/>
                    <a:srcRect t="7558" b="22093"/>
                    <a:stretch>
                      <a:fillRect/>
                    </a:stretch>
                  </pic:blipFill>
                  <pic:spPr bwMode="auto">
                    <a:xfrm>
                      <a:off x="0" y="0"/>
                      <a:ext cx="1344930" cy="1352550"/>
                    </a:xfrm>
                    <a:prstGeom prst="rect">
                      <a:avLst/>
                    </a:prstGeom>
                    <a:noFill/>
                    <a:ln w="9525">
                      <a:noFill/>
                      <a:miter lim="800000"/>
                      <a:headEnd/>
                      <a:tailEnd/>
                    </a:ln>
                  </pic:spPr>
                </pic:pic>
              </a:graphicData>
            </a:graphic>
          </wp:inline>
        </w:drawing>
      </w:r>
      <w:r w:rsidRPr="00C1129C">
        <w:rPr>
          <w:rFonts w:asciiTheme="majorBidi" w:hAnsiTheme="majorBidi" w:cstheme="majorBidi"/>
          <w:noProof/>
          <w:sz w:val="24"/>
          <w:szCs w:val="24"/>
        </w:rPr>
        <w:t xml:space="preserve">                                                                            </w:t>
      </w:r>
      <w:r w:rsidRPr="00C1129C">
        <w:rPr>
          <w:rFonts w:asciiTheme="majorBidi" w:hAnsiTheme="majorBidi" w:cstheme="majorBidi"/>
          <w:noProof/>
          <w:sz w:val="24"/>
          <w:szCs w:val="24"/>
        </w:rPr>
        <w:drawing>
          <wp:inline distT="0" distB="0" distL="0" distR="0">
            <wp:extent cx="1421765" cy="1521460"/>
            <wp:effectExtent l="19050" t="0" r="6985" b="0"/>
            <wp:docPr id="10" name="Picture 1" descr="in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dex"/>
                    <pic:cNvPicPr>
                      <a:picLocks noChangeAspect="1" noChangeArrowheads="1"/>
                    </pic:cNvPicPr>
                  </pic:nvPicPr>
                  <pic:blipFill>
                    <a:blip r:embed="rId7"/>
                    <a:srcRect/>
                    <a:stretch>
                      <a:fillRect/>
                    </a:stretch>
                  </pic:blipFill>
                  <pic:spPr bwMode="auto">
                    <a:xfrm>
                      <a:off x="0" y="0"/>
                      <a:ext cx="1421765" cy="1521460"/>
                    </a:xfrm>
                    <a:prstGeom prst="rect">
                      <a:avLst/>
                    </a:prstGeom>
                    <a:noFill/>
                    <a:ln w="9525">
                      <a:noFill/>
                      <a:miter lim="800000"/>
                      <a:headEnd/>
                      <a:tailEnd/>
                    </a:ln>
                  </pic:spPr>
                </pic:pic>
              </a:graphicData>
            </a:graphic>
          </wp:inline>
        </w:drawing>
      </w:r>
    </w:p>
    <w:p w:rsidR="0094680B" w:rsidRPr="00C1129C" w:rsidRDefault="0094680B" w:rsidP="0094680B">
      <w:pPr>
        <w:autoSpaceDE w:val="0"/>
        <w:autoSpaceDN w:val="0"/>
        <w:adjustRightInd w:val="0"/>
        <w:rPr>
          <w:rFonts w:asciiTheme="majorBidi" w:hAnsiTheme="majorBidi" w:cstheme="majorBidi"/>
          <w:sz w:val="24"/>
          <w:szCs w:val="24"/>
          <w:lang w:val="en-NZ"/>
        </w:rPr>
      </w:pPr>
    </w:p>
    <w:p w:rsidR="0094680B" w:rsidRPr="00C1129C" w:rsidRDefault="0094680B" w:rsidP="0094680B">
      <w:pPr>
        <w:autoSpaceDE w:val="0"/>
        <w:autoSpaceDN w:val="0"/>
        <w:adjustRightInd w:val="0"/>
        <w:rPr>
          <w:rFonts w:asciiTheme="majorBidi" w:hAnsiTheme="majorBidi" w:cstheme="majorBidi"/>
          <w:b/>
          <w:bCs/>
          <w:sz w:val="24"/>
          <w:szCs w:val="24"/>
          <w:lang w:val="en-NZ"/>
        </w:rPr>
      </w:pPr>
    </w:p>
    <w:p w:rsidR="0094680B" w:rsidRPr="00C1129C" w:rsidRDefault="0094680B" w:rsidP="0094680B">
      <w:pPr>
        <w:pStyle w:val="Default"/>
        <w:rPr>
          <w:rFonts w:asciiTheme="majorBidi" w:hAnsiTheme="majorBidi" w:cstheme="majorBidi"/>
        </w:rPr>
      </w:pPr>
    </w:p>
    <w:tbl>
      <w:tblPr>
        <w:tblW w:w="0" w:type="auto"/>
        <w:tblLayout w:type="fixed"/>
        <w:tblLook w:val="04A0"/>
      </w:tblPr>
      <w:tblGrid>
        <w:gridCol w:w="9417"/>
      </w:tblGrid>
      <w:tr w:rsidR="0094680B" w:rsidRPr="00C1129C" w:rsidTr="0094680B">
        <w:trPr>
          <w:trHeight w:val="472"/>
        </w:trPr>
        <w:tc>
          <w:tcPr>
            <w:tcW w:w="9417" w:type="dxa"/>
            <w:tcBorders>
              <w:top w:val="nil"/>
              <w:left w:val="nil"/>
              <w:bottom w:val="nil"/>
              <w:right w:val="nil"/>
            </w:tcBorders>
          </w:tcPr>
          <w:p w:rsidR="0094680B" w:rsidRPr="00C1129C" w:rsidRDefault="0094680B">
            <w:pPr>
              <w:pStyle w:val="Default"/>
              <w:spacing w:line="276" w:lineRule="auto"/>
              <w:rPr>
                <w:rFonts w:asciiTheme="majorBidi" w:hAnsiTheme="majorBidi" w:cstheme="majorBidi"/>
                <w:b/>
                <w:bCs/>
              </w:rPr>
            </w:pPr>
            <w:r w:rsidRPr="00C1129C">
              <w:rPr>
                <w:rFonts w:asciiTheme="majorBidi" w:hAnsiTheme="majorBidi" w:cstheme="majorBidi"/>
              </w:rPr>
              <w:t xml:space="preserve"> </w:t>
            </w:r>
            <w:r w:rsidRPr="00C1129C">
              <w:rPr>
                <w:rFonts w:asciiTheme="majorBidi" w:hAnsiTheme="majorBidi" w:cstheme="majorBidi"/>
                <w:b/>
                <w:bCs/>
              </w:rPr>
              <w:t xml:space="preserve">Relationship of the Gonial Angle and Inferior Alveolar Canal Course Using Cone Beam Computed Tomography </w:t>
            </w:r>
          </w:p>
          <w:p w:rsidR="0094680B" w:rsidRPr="00C1129C" w:rsidRDefault="0094680B">
            <w:pPr>
              <w:pStyle w:val="Default"/>
              <w:spacing w:line="276" w:lineRule="auto"/>
              <w:rPr>
                <w:rFonts w:asciiTheme="majorBidi" w:hAnsiTheme="majorBidi" w:cstheme="majorBidi"/>
              </w:rPr>
            </w:pPr>
          </w:p>
        </w:tc>
      </w:tr>
    </w:tbl>
    <w:p w:rsidR="0094680B" w:rsidRPr="00C1129C" w:rsidRDefault="0094680B" w:rsidP="0094680B">
      <w:pPr>
        <w:autoSpaceDE w:val="0"/>
        <w:autoSpaceDN w:val="0"/>
        <w:adjustRightInd w:val="0"/>
        <w:spacing w:after="0" w:line="240" w:lineRule="auto"/>
        <w:jc w:val="center"/>
        <w:rPr>
          <w:rFonts w:asciiTheme="majorBidi" w:hAnsiTheme="majorBidi" w:cstheme="majorBidi"/>
          <w:color w:val="131413"/>
          <w:sz w:val="24"/>
          <w:szCs w:val="24"/>
        </w:rPr>
      </w:pPr>
      <w:r w:rsidRPr="00C1129C">
        <w:rPr>
          <w:rFonts w:asciiTheme="majorBidi" w:hAnsiTheme="majorBidi" w:cstheme="majorBidi"/>
          <w:color w:val="131413"/>
          <w:sz w:val="24"/>
          <w:szCs w:val="24"/>
        </w:rPr>
        <w:t>Farzeneh Eslami,</w:t>
      </w:r>
      <w:r w:rsidRPr="00C1129C">
        <w:rPr>
          <w:rFonts w:asciiTheme="majorBidi" w:hAnsiTheme="majorBidi" w:cstheme="majorBidi"/>
          <w:sz w:val="24"/>
          <w:szCs w:val="24"/>
        </w:rPr>
        <w:t xml:space="preserve"> Associate professor of orthodontics, Mashhad University of Medical Sciences,</w:t>
      </w:r>
      <w:r w:rsidRPr="00C1129C">
        <w:rPr>
          <w:rFonts w:asciiTheme="majorBidi" w:hAnsiTheme="majorBidi" w:cstheme="majorBidi"/>
          <w:color w:val="131413"/>
          <w:sz w:val="24"/>
          <w:szCs w:val="24"/>
        </w:rPr>
        <w:t xml:space="preserve"> Mashhad,Iran</w:t>
      </w:r>
    </w:p>
    <w:p w:rsidR="0094680B" w:rsidRPr="00C1129C" w:rsidRDefault="0094680B" w:rsidP="0094680B">
      <w:pPr>
        <w:rPr>
          <w:rFonts w:asciiTheme="majorBidi" w:hAnsiTheme="majorBidi" w:cstheme="majorBidi"/>
          <w:sz w:val="24"/>
          <w:szCs w:val="24"/>
        </w:rPr>
      </w:pPr>
    </w:p>
    <w:p w:rsidR="0094680B" w:rsidRPr="00C1129C" w:rsidRDefault="0094680B" w:rsidP="0094680B">
      <w:pPr>
        <w:pStyle w:val="Default"/>
        <w:rPr>
          <w:rFonts w:asciiTheme="majorBidi" w:hAnsiTheme="majorBidi" w:cstheme="majorBidi"/>
        </w:rPr>
      </w:pPr>
    </w:p>
    <w:tbl>
      <w:tblPr>
        <w:tblW w:w="0" w:type="auto"/>
        <w:tblLayout w:type="fixed"/>
        <w:tblLook w:val="04A0"/>
      </w:tblPr>
      <w:tblGrid>
        <w:gridCol w:w="7277"/>
      </w:tblGrid>
      <w:tr w:rsidR="0094680B" w:rsidRPr="00C1129C" w:rsidTr="0094680B">
        <w:trPr>
          <w:trHeight w:val="2166"/>
        </w:trPr>
        <w:tc>
          <w:tcPr>
            <w:tcW w:w="7277" w:type="dxa"/>
            <w:tcBorders>
              <w:top w:val="nil"/>
              <w:left w:val="nil"/>
              <w:bottom w:val="nil"/>
              <w:right w:val="nil"/>
            </w:tcBorders>
          </w:tcPr>
          <w:p w:rsidR="0094680B" w:rsidRPr="00C1129C" w:rsidRDefault="0094680B">
            <w:pPr>
              <w:pStyle w:val="Default"/>
              <w:spacing w:line="276" w:lineRule="auto"/>
              <w:rPr>
                <w:rFonts w:asciiTheme="majorBidi" w:hAnsiTheme="majorBidi" w:cstheme="majorBidi"/>
              </w:rPr>
            </w:pPr>
            <w:r w:rsidRPr="00C1129C">
              <w:rPr>
                <w:rFonts w:asciiTheme="majorBidi" w:hAnsiTheme="majorBidi" w:cstheme="majorBidi"/>
              </w:rPr>
              <w:t xml:space="preserve">Statement of the Problem: Accurate localization of the inferior alveolar canal (IAC) is extremely important in some dental treatments. Anatomical variation of the canal means that it can be difficult to locate. Cone beam computed tomography (CBCT) can help in determining the exact location of the canal. </w:t>
            </w:r>
          </w:p>
          <w:p w:rsidR="0094680B" w:rsidRPr="00C1129C" w:rsidRDefault="0094680B">
            <w:pPr>
              <w:pStyle w:val="Default"/>
              <w:spacing w:line="276" w:lineRule="auto"/>
              <w:rPr>
                <w:rFonts w:asciiTheme="majorBidi" w:hAnsiTheme="majorBidi" w:cstheme="majorBidi"/>
              </w:rPr>
            </w:pPr>
            <w:r w:rsidRPr="00C1129C">
              <w:rPr>
                <w:rFonts w:asciiTheme="majorBidi" w:hAnsiTheme="majorBidi" w:cstheme="majorBidi"/>
              </w:rPr>
              <w:t xml:space="preserve">In this in vitro study, 61 dry adult human hemi-mandibles were used. The CBCT scans were taken of all samples and GA was measured on all CBCT scans. The samples were divided into two groups of low angle (≤125°) and high angle (&gt;125°). The canal dimensions, length and course were evaluated. On the sagittal view, the IAC path was classified as type A, B or C. On the axial view, canal course was defined as A1 or A2 according to the mental foramen angle. The average GA size was 121.8±7.05° at the right side and 123.8±6.32° at the left side. On the sagittal view, there was a significant correlation between the GA size and the canal course. In the high-angle group, type A was dominant; whereas in the low-angle group, type B was more common. On the axial view of IAC course, type A1 was more common (73.43%). The results showed that GA size was associated with IAC course. In cases with a larger GA, the canal runs in a more straightforward path, and at the same level as the mental foramen. </w:t>
            </w:r>
          </w:p>
          <w:p w:rsidR="0094680B" w:rsidRPr="00C1129C" w:rsidRDefault="0094680B">
            <w:pPr>
              <w:pStyle w:val="Default"/>
              <w:spacing w:line="276" w:lineRule="auto"/>
              <w:rPr>
                <w:rFonts w:asciiTheme="majorBidi" w:hAnsiTheme="majorBidi" w:cstheme="majorBidi"/>
              </w:rPr>
            </w:pPr>
          </w:p>
          <w:p w:rsidR="0094680B" w:rsidRPr="00C1129C" w:rsidRDefault="0094680B">
            <w:pPr>
              <w:pStyle w:val="Default"/>
              <w:spacing w:line="276" w:lineRule="auto"/>
              <w:rPr>
                <w:rFonts w:asciiTheme="majorBidi" w:hAnsiTheme="majorBidi" w:cstheme="majorBidi"/>
              </w:rPr>
            </w:pPr>
            <w:r w:rsidRPr="00C1129C">
              <w:rPr>
                <w:rFonts w:asciiTheme="majorBidi" w:hAnsiTheme="majorBidi" w:cstheme="majorBidi"/>
                <w:b/>
                <w:bCs/>
              </w:rPr>
              <w:lastRenderedPageBreak/>
              <w:t xml:space="preserve">Keywords: </w:t>
            </w:r>
            <w:r w:rsidRPr="00C1129C">
              <w:rPr>
                <w:rFonts w:asciiTheme="majorBidi" w:hAnsiTheme="majorBidi" w:cstheme="majorBidi"/>
              </w:rPr>
              <w:t xml:space="preserve">Cone Beam Computed Tomography; Mandibular Nerve; Mandible </w:t>
            </w:r>
          </w:p>
        </w:tc>
      </w:tr>
    </w:tbl>
    <w:p w:rsidR="0094680B" w:rsidRPr="00C1129C" w:rsidRDefault="0094680B" w:rsidP="0094680B">
      <w:pPr>
        <w:rPr>
          <w:rFonts w:asciiTheme="majorBidi" w:hAnsiTheme="majorBidi" w:cstheme="majorBidi"/>
          <w:sz w:val="24"/>
          <w:szCs w:val="24"/>
        </w:rPr>
      </w:pPr>
      <w:r w:rsidRPr="00C1129C">
        <w:rPr>
          <w:rFonts w:asciiTheme="majorBidi" w:hAnsiTheme="majorBidi" w:cstheme="majorBidi"/>
          <w:noProof/>
          <w:sz w:val="24"/>
          <w:szCs w:val="24"/>
        </w:rPr>
        <w:lastRenderedPageBreak/>
        <w:drawing>
          <wp:inline distT="0" distB="0" distL="0" distR="0">
            <wp:extent cx="1790065" cy="1667510"/>
            <wp:effectExtent l="19050" t="0" r="635"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790065" cy="1667510"/>
                    </a:xfrm>
                    <a:prstGeom prst="rect">
                      <a:avLst/>
                    </a:prstGeom>
                    <a:noFill/>
                    <a:ln w="9525">
                      <a:noFill/>
                      <a:miter lim="800000"/>
                      <a:headEnd/>
                      <a:tailEnd/>
                    </a:ln>
                  </pic:spPr>
                </pic:pic>
              </a:graphicData>
            </a:graphic>
          </wp:inline>
        </w:drawing>
      </w:r>
    </w:p>
    <w:p w:rsidR="0094680B" w:rsidRPr="00C1129C" w:rsidRDefault="0094680B" w:rsidP="0094680B">
      <w:pPr>
        <w:rPr>
          <w:rFonts w:asciiTheme="majorBidi" w:hAnsiTheme="majorBidi" w:cstheme="majorBidi"/>
          <w:sz w:val="24"/>
          <w:szCs w:val="24"/>
        </w:rPr>
      </w:pPr>
      <w:r w:rsidRPr="00C1129C">
        <w:rPr>
          <w:rFonts w:asciiTheme="majorBidi" w:hAnsiTheme="majorBidi" w:cstheme="majorBidi"/>
          <w:b/>
          <w:bCs/>
          <w:sz w:val="24"/>
          <w:szCs w:val="24"/>
        </w:rPr>
        <w:t xml:space="preserve">Fig. 1. </w:t>
      </w:r>
      <w:r w:rsidRPr="00C1129C">
        <w:rPr>
          <w:rFonts w:asciiTheme="majorBidi" w:hAnsiTheme="majorBidi" w:cstheme="majorBidi"/>
          <w:sz w:val="24"/>
          <w:szCs w:val="24"/>
        </w:rPr>
        <w:t>Gonial angle measurements</w:t>
      </w:r>
    </w:p>
    <w:p w:rsidR="0094680B" w:rsidRPr="00C1129C" w:rsidRDefault="0094680B" w:rsidP="0094680B">
      <w:pPr>
        <w:rPr>
          <w:rFonts w:asciiTheme="majorBidi" w:hAnsiTheme="majorBidi" w:cstheme="majorBidi"/>
          <w:sz w:val="24"/>
          <w:szCs w:val="24"/>
        </w:rPr>
      </w:pPr>
      <w:r w:rsidRPr="00C1129C">
        <w:rPr>
          <w:rFonts w:asciiTheme="majorBidi" w:hAnsiTheme="majorBidi" w:cstheme="majorBidi"/>
          <w:noProof/>
          <w:sz w:val="24"/>
          <w:szCs w:val="24"/>
        </w:rPr>
        <w:drawing>
          <wp:inline distT="0" distB="0" distL="0" distR="0">
            <wp:extent cx="3964962" cy="1721282"/>
            <wp:effectExtent l="1905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3970455" cy="1723666"/>
                    </a:xfrm>
                    <a:prstGeom prst="rect">
                      <a:avLst/>
                    </a:prstGeom>
                    <a:noFill/>
                    <a:ln w="9525">
                      <a:noFill/>
                      <a:miter lim="800000"/>
                      <a:headEnd/>
                      <a:tailEnd/>
                    </a:ln>
                  </pic:spPr>
                </pic:pic>
              </a:graphicData>
            </a:graphic>
          </wp:inline>
        </w:drawing>
      </w:r>
    </w:p>
    <w:p w:rsidR="0094680B" w:rsidRPr="00C1129C" w:rsidRDefault="0094680B" w:rsidP="0094680B">
      <w:pPr>
        <w:rPr>
          <w:rFonts w:asciiTheme="majorBidi" w:hAnsiTheme="majorBidi" w:cstheme="majorBidi"/>
          <w:sz w:val="24"/>
          <w:szCs w:val="24"/>
        </w:rPr>
      </w:pPr>
      <w:r w:rsidRPr="00C1129C">
        <w:rPr>
          <w:rFonts w:asciiTheme="majorBidi" w:hAnsiTheme="majorBidi" w:cstheme="majorBidi"/>
          <w:b/>
          <w:bCs/>
          <w:sz w:val="24"/>
          <w:szCs w:val="24"/>
        </w:rPr>
        <w:t xml:space="preserve">Fig. 2. </w:t>
      </w:r>
      <w:r w:rsidRPr="00C1129C">
        <w:rPr>
          <w:rFonts w:asciiTheme="majorBidi" w:hAnsiTheme="majorBidi" w:cstheme="majorBidi"/>
          <w:sz w:val="24"/>
          <w:szCs w:val="24"/>
        </w:rPr>
        <w:t>Evaluation of the buccolingual position of the IAC by calculating the distance from the center of IAC to buccal, lingual, and inferior borders in C1, C2, and C3 slices</w:t>
      </w:r>
    </w:p>
    <w:p w:rsidR="0094680B" w:rsidRPr="00C1129C" w:rsidRDefault="0094680B" w:rsidP="0094680B">
      <w:pPr>
        <w:rPr>
          <w:rFonts w:asciiTheme="majorBidi" w:hAnsiTheme="majorBidi" w:cstheme="majorBidi"/>
          <w:sz w:val="24"/>
          <w:szCs w:val="24"/>
        </w:rPr>
      </w:pPr>
      <w:r w:rsidRPr="00C1129C">
        <w:rPr>
          <w:rFonts w:asciiTheme="majorBidi" w:hAnsiTheme="majorBidi" w:cstheme="majorBidi"/>
          <w:noProof/>
          <w:sz w:val="24"/>
          <w:szCs w:val="24"/>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2243455" cy="1565910"/>
            <wp:effectExtent l="19050" t="0" r="4445" b="0"/>
            <wp:wrapSquare wrapText="bothSides"/>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2243455" cy="1565910"/>
                    </a:xfrm>
                    <a:prstGeom prst="rect">
                      <a:avLst/>
                    </a:prstGeom>
                    <a:noFill/>
                  </pic:spPr>
                </pic:pic>
              </a:graphicData>
            </a:graphic>
          </wp:anchor>
        </w:drawing>
      </w:r>
    </w:p>
    <w:p w:rsidR="0094680B" w:rsidRPr="00C1129C" w:rsidRDefault="0094680B" w:rsidP="0094680B">
      <w:pPr>
        <w:rPr>
          <w:rFonts w:asciiTheme="majorBidi" w:hAnsiTheme="majorBidi" w:cstheme="majorBidi"/>
          <w:sz w:val="24"/>
          <w:szCs w:val="24"/>
        </w:rPr>
      </w:pPr>
    </w:p>
    <w:p w:rsidR="0094680B" w:rsidRPr="00C1129C" w:rsidRDefault="0094680B" w:rsidP="0094680B">
      <w:pPr>
        <w:spacing w:line="240" w:lineRule="exact"/>
        <w:rPr>
          <w:rFonts w:asciiTheme="majorBidi" w:hAnsiTheme="majorBidi" w:cstheme="majorBidi"/>
          <w:b/>
          <w:bCs/>
          <w:sz w:val="24"/>
          <w:szCs w:val="24"/>
        </w:rPr>
      </w:pPr>
    </w:p>
    <w:p w:rsidR="0094680B" w:rsidRPr="00C1129C" w:rsidRDefault="0094680B" w:rsidP="0094680B">
      <w:pPr>
        <w:spacing w:line="240" w:lineRule="exact"/>
        <w:rPr>
          <w:rFonts w:asciiTheme="majorBidi" w:hAnsiTheme="majorBidi" w:cstheme="majorBidi"/>
          <w:b/>
          <w:bCs/>
          <w:sz w:val="24"/>
          <w:szCs w:val="24"/>
        </w:rPr>
      </w:pPr>
    </w:p>
    <w:p w:rsidR="0094680B" w:rsidRPr="00C1129C" w:rsidRDefault="0094680B" w:rsidP="0094680B">
      <w:pPr>
        <w:spacing w:line="240" w:lineRule="exact"/>
        <w:rPr>
          <w:rFonts w:asciiTheme="majorBidi" w:hAnsiTheme="majorBidi" w:cstheme="majorBidi"/>
          <w:b/>
          <w:bCs/>
          <w:sz w:val="24"/>
          <w:szCs w:val="24"/>
        </w:rPr>
      </w:pPr>
    </w:p>
    <w:p w:rsidR="0094680B" w:rsidRPr="00C1129C" w:rsidRDefault="0094680B" w:rsidP="0094680B">
      <w:pPr>
        <w:spacing w:line="240" w:lineRule="exact"/>
        <w:rPr>
          <w:rFonts w:asciiTheme="majorBidi" w:hAnsiTheme="majorBidi" w:cstheme="majorBidi"/>
          <w:b/>
          <w:bCs/>
          <w:sz w:val="24"/>
          <w:szCs w:val="24"/>
        </w:rPr>
      </w:pPr>
    </w:p>
    <w:p w:rsidR="0094680B" w:rsidRPr="00C1129C" w:rsidRDefault="0094680B" w:rsidP="0094680B">
      <w:pPr>
        <w:spacing w:line="240" w:lineRule="exact"/>
        <w:rPr>
          <w:rFonts w:asciiTheme="majorBidi" w:hAnsiTheme="majorBidi" w:cstheme="majorBidi"/>
          <w:sz w:val="24"/>
          <w:szCs w:val="24"/>
        </w:rPr>
      </w:pPr>
      <w:r w:rsidRPr="00C1129C">
        <w:rPr>
          <w:rFonts w:asciiTheme="majorBidi" w:hAnsiTheme="majorBidi" w:cstheme="majorBidi"/>
          <w:b/>
          <w:bCs/>
          <w:sz w:val="24"/>
          <w:szCs w:val="24"/>
        </w:rPr>
        <w:t xml:space="preserve">Fig. 3. </w:t>
      </w:r>
      <w:r w:rsidRPr="00C1129C">
        <w:rPr>
          <w:rFonts w:asciiTheme="majorBidi" w:hAnsiTheme="majorBidi" w:cstheme="majorBidi"/>
          <w:sz w:val="24"/>
          <w:szCs w:val="24"/>
        </w:rPr>
        <w:t>Total length of IAC</w:t>
      </w:r>
    </w:p>
    <w:p w:rsidR="0094680B" w:rsidRPr="00C1129C" w:rsidRDefault="0094680B" w:rsidP="0094680B">
      <w:pPr>
        <w:spacing w:line="240" w:lineRule="exact"/>
        <w:rPr>
          <w:rFonts w:asciiTheme="majorBidi" w:hAnsiTheme="majorBidi" w:cstheme="majorBidi"/>
          <w:sz w:val="24"/>
          <w:szCs w:val="24"/>
        </w:rPr>
      </w:pPr>
    </w:p>
    <w:p w:rsidR="006F5482" w:rsidRPr="00C1129C" w:rsidRDefault="0094680B" w:rsidP="008A73AB">
      <w:pPr>
        <w:jc w:val="center"/>
        <w:rPr>
          <w:rFonts w:asciiTheme="majorBidi" w:hAnsiTheme="majorBidi" w:cstheme="majorBidi"/>
          <w:sz w:val="24"/>
          <w:szCs w:val="24"/>
        </w:rPr>
      </w:pPr>
      <w:r w:rsidRPr="00C1129C">
        <w:rPr>
          <w:rFonts w:asciiTheme="majorBidi" w:hAnsiTheme="majorBidi" w:cstheme="majorBidi"/>
          <w:noProof/>
          <w:sz w:val="24"/>
          <w:szCs w:val="24"/>
        </w:rPr>
        <w:lastRenderedPageBreak/>
        <w:drawing>
          <wp:inline distT="0" distB="0" distL="0" distR="0">
            <wp:extent cx="5939790" cy="2120900"/>
            <wp:effectExtent l="19050" t="0" r="381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5939790" cy="2120900"/>
                    </a:xfrm>
                    <a:prstGeom prst="rect">
                      <a:avLst/>
                    </a:prstGeom>
                    <a:noFill/>
                    <a:ln w="9525">
                      <a:noFill/>
                      <a:miter lim="800000"/>
                      <a:headEnd/>
                      <a:tailEnd/>
                    </a:ln>
                  </pic:spPr>
                </pic:pic>
              </a:graphicData>
            </a:graphic>
          </wp:inline>
        </w:drawing>
      </w:r>
    </w:p>
    <w:p w:rsidR="006F5482" w:rsidRPr="00C1129C" w:rsidRDefault="0094680B" w:rsidP="006F5482">
      <w:pPr>
        <w:rPr>
          <w:rFonts w:asciiTheme="majorBidi" w:hAnsiTheme="majorBidi" w:cstheme="majorBidi"/>
          <w:sz w:val="24"/>
          <w:szCs w:val="24"/>
        </w:rPr>
      </w:pPr>
      <w:r w:rsidRPr="00C1129C">
        <w:rPr>
          <w:rFonts w:asciiTheme="majorBidi" w:hAnsiTheme="majorBidi" w:cstheme="majorBidi"/>
          <w:noProof/>
          <w:sz w:val="24"/>
          <w:szCs w:val="24"/>
        </w:rPr>
        <w:drawing>
          <wp:inline distT="0" distB="0" distL="0" distR="0">
            <wp:extent cx="4138012" cy="2081951"/>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a:srcRect/>
                    <a:stretch>
                      <a:fillRect/>
                    </a:stretch>
                  </pic:blipFill>
                  <pic:spPr bwMode="auto">
                    <a:xfrm>
                      <a:off x="0" y="0"/>
                      <a:ext cx="4143791" cy="2084858"/>
                    </a:xfrm>
                    <a:prstGeom prst="rect">
                      <a:avLst/>
                    </a:prstGeom>
                    <a:noFill/>
                    <a:ln w="9525">
                      <a:noFill/>
                      <a:miter lim="800000"/>
                      <a:headEnd/>
                      <a:tailEnd/>
                    </a:ln>
                  </pic:spPr>
                </pic:pic>
              </a:graphicData>
            </a:graphic>
          </wp:inline>
        </w:drawing>
      </w:r>
    </w:p>
    <w:p w:rsidR="005935D7" w:rsidRPr="00C1129C" w:rsidRDefault="005935D7" w:rsidP="005935D7">
      <w:pPr>
        <w:autoSpaceDE w:val="0"/>
        <w:autoSpaceDN w:val="0"/>
        <w:adjustRightInd w:val="0"/>
        <w:spacing w:after="0" w:line="360" w:lineRule="auto"/>
        <w:rPr>
          <w:rFonts w:asciiTheme="majorBidi" w:hAnsiTheme="majorBidi" w:cstheme="majorBidi"/>
          <w:b/>
          <w:sz w:val="24"/>
          <w:szCs w:val="24"/>
        </w:rPr>
      </w:pPr>
      <w:r w:rsidRPr="00C1129C">
        <w:rPr>
          <w:rFonts w:asciiTheme="majorBidi" w:hAnsiTheme="majorBidi" w:cstheme="majorBidi"/>
          <w:b/>
          <w:sz w:val="24"/>
          <w:szCs w:val="24"/>
        </w:rPr>
        <w:t>Recent Publications:</w:t>
      </w:r>
    </w:p>
    <w:p w:rsidR="005935D7" w:rsidRPr="00C1129C" w:rsidRDefault="005935D7" w:rsidP="005935D7">
      <w:pPr>
        <w:autoSpaceDE w:val="0"/>
        <w:autoSpaceDN w:val="0"/>
        <w:adjustRightInd w:val="0"/>
        <w:spacing w:after="0" w:line="240" w:lineRule="auto"/>
        <w:rPr>
          <w:rFonts w:asciiTheme="majorBidi" w:hAnsiTheme="majorBidi" w:cstheme="majorBidi"/>
          <w:sz w:val="24"/>
          <w:szCs w:val="24"/>
        </w:rPr>
      </w:pPr>
      <w:r w:rsidRPr="00C1129C">
        <w:rPr>
          <w:rFonts w:asciiTheme="majorBidi" w:hAnsiTheme="majorBidi" w:cstheme="majorBidi"/>
          <w:sz w:val="24"/>
          <w:szCs w:val="24"/>
        </w:rPr>
        <w:t>1-Yassaei S, Eslami F.Iranian Journal of Orthodontics. ; 9:43-9. 2014, Dentofacial Relapse in Class II Patients Treated with Functional Appliances.</w:t>
      </w:r>
    </w:p>
    <w:p w:rsidR="005935D7" w:rsidRPr="00C1129C" w:rsidRDefault="005935D7" w:rsidP="005935D7">
      <w:pPr>
        <w:autoSpaceDE w:val="0"/>
        <w:autoSpaceDN w:val="0"/>
        <w:adjustRightInd w:val="0"/>
        <w:spacing w:after="0" w:line="240" w:lineRule="auto"/>
        <w:rPr>
          <w:rFonts w:asciiTheme="majorBidi" w:hAnsiTheme="majorBidi" w:cstheme="majorBidi"/>
          <w:sz w:val="24"/>
          <w:szCs w:val="24"/>
        </w:rPr>
      </w:pPr>
      <w:r w:rsidRPr="00C1129C">
        <w:rPr>
          <w:rFonts w:asciiTheme="majorBidi" w:hAnsiTheme="majorBidi" w:cstheme="majorBidi"/>
          <w:sz w:val="24"/>
          <w:szCs w:val="24"/>
        </w:rPr>
        <w:t>2-Anbiaee N, Eslami F, Bagherpour A. Journal of dentistry (Tehran, Iran). 12(10):756.2, 2015 Oct; Relationship of the gonial angle and inferior alveolar canal course using cone beam computed tomography.</w:t>
      </w:r>
    </w:p>
    <w:p w:rsidR="005935D7" w:rsidRPr="00C1129C" w:rsidRDefault="005935D7" w:rsidP="005935D7">
      <w:pPr>
        <w:autoSpaceDE w:val="0"/>
        <w:autoSpaceDN w:val="0"/>
        <w:adjustRightInd w:val="0"/>
        <w:spacing w:after="0" w:line="240" w:lineRule="auto"/>
        <w:rPr>
          <w:rFonts w:asciiTheme="majorBidi" w:hAnsiTheme="majorBidi" w:cstheme="majorBidi"/>
          <w:sz w:val="24"/>
          <w:szCs w:val="24"/>
        </w:rPr>
      </w:pPr>
      <w:r w:rsidRPr="00C1129C">
        <w:rPr>
          <w:rFonts w:asciiTheme="majorBidi" w:hAnsiTheme="majorBidi" w:cstheme="majorBidi"/>
          <w:sz w:val="24"/>
          <w:szCs w:val="24"/>
        </w:rPr>
        <w:t>3-Yassaei S, Aghili H, Afshari JT, Bagherpour A, Eslami F. Lasers in medical science. 1;31(9):1751-9. 2016 Dec, Effects of diode laser (980 nm) on orthodontic tooth movement and interleukin 6 levels in gingival crevicular fluid in female subjects.</w:t>
      </w:r>
    </w:p>
    <w:p w:rsidR="005935D7" w:rsidRPr="00C1129C" w:rsidRDefault="005935D7" w:rsidP="005935D7">
      <w:pPr>
        <w:autoSpaceDE w:val="0"/>
        <w:autoSpaceDN w:val="0"/>
        <w:adjustRightInd w:val="0"/>
        <w:spacing w:after="0" w:line="240" w:lineRule="auto"/>
        <w:rPr>
          <w:rFonts w:asciiTheme="majorBidi" w:hAnsiTheme="majorBidi" w:cstheme="majorBidi"/>
          <w:sz w:val="24"/>
          <w:szCs w:val="24"/>
        </w:rPr>
      </w:pPr>
      <w:r w:rsidRPr="00C1129C">
        <w:rPr>
          <w:rFonts w:asciiTheme="majorBidi" w:hAnsiTheme="majorBidi" w:cstheme="majorBidi"/>
          <w:sz w:val="24"/>
          <w:szCs w:val="24"/>
        </w:rPr>
        <w:t>4-Aghili H, Yassaei S, Eslami F. Dental research journal.14(4):252. 2017 Jul; Evaluation of the effect of three mouthwashes on the mechanical properties and surface morphology of several orthodontic wires: An in vitro study.</w:t>
      </w:r>
    </w:p>
    <w:p w:rsidR="005935D7" w:rsidRPr="00C1129C" w:rsidRDefault="005935D7" w:rsidP="005935D7">
      <w:pPr>
        <w:autoSpaceDE w:val="0"/>
        <w:autoSpaceDN w:val="0"/>
        <w:adjustRightInd w:val="0"/>
        <w:spacing w:after="0" w:line="240" w:lineRule="auto"/>
        <w:rPr>
          <w:rFonts w:asciiTheme="majorBidi" w:hAnsiTheme="majorBidi" w:cstheme="majorBidi"/>
          <w:sz w:val="24"/>
          <w:szCs w:val="24"/>
        </w:rPr>
      </w:pPr>
      <w:r w:rsidRPr="00C1129C">
        <w:rPr>
          <w:rFonts w:asciiTheme="majorBidi" w:hAnsiTheme="majorBidi" w:cstheme="majorBidi"/>
          <w:sz w:val="24"/>
          <w:szCs w:val="24"/>
        </w:rPr>
        <w:t>5- Omidkhoda M, Jahnabin A, Khoshandam F, Eslami F, Zarch SH, Afshari JT, Kermani H. Iranian journal of otorhinolaryngology. 30(101):329. 2018 Nov; Efficacy of Platelet-Rich Fibrin Combined with Autogenous Bone Graft in the Quality and Quantity of Maxillary Alveolar Cleft Reconstruction.</w:t>
      </w:r>
    </w:p>
    <w:p w:rsidR="005935D7" w:rsidRPr="00C1129C" w:rsidRDefault="005935D7" w:rsidP="005935D7">
      <w:pPr>
        <w:autoSpaceDE w:val="0"/>
        <w:autoSpaceDN w:val="0"/>
        <w:adjustRightInd w:val="0"/>
        <w:spacing w:after="0" w:line="360" w:lineRule="auto"/>
        <w:rPr>
          <w:rFonts w:asciiTheme="majorBidi" w:hAnsiTheme="majorBidi" w:cstheme="majorBidi"/>
          <w:color w:val="131413"/>
          <w:sz w:val="24"/>
          <w:szCs w:val="24"/>
        </w:rPr>
      </w:pPr>
    </w:p>
    <w:p w:rsidR="005935D7" w:rsidRPr="00C1129C" w:rsidRDefault="005935D7" w:rsidP="005935D7">
      <w:pPr>
        <w:autoSpaceDE w:val="0"/>
        <w:autoSpaceDN w:val="0"/>
        <w:adjustRightInd w:val="0"/>
        <w:spacing w:after="0" w:line="360" w:lineRule="auto"/>
        <w:rPr>
          <w:rFonts w:asciiTheme="majorBidi" w:hAnsiTheme="majorBidi" w:cstheme="majorBidi"/>
          <w:color w:val="131413"/>
          <w:sz w:val="24"/>
          <w:szCs w:val="24"/>
        </w:rPr>
      </w:pPr>
    </w:p>
    <w:p w:rsidR="005935D7" w:rsidRPr="00C1129C" w:rsidRDefault="005935D7" w:rsidP="005935D7">
      <w:pPr>
        <w:autoSpaceDE w:val="0"/>
        <w:autoSpaceDN w:val="0"/>
        <w:adjustRightInd w:val="0"/>
        <w:spacing w:after="0" w:line="360" w:lineRule="auto"/>
        <w:rPr>
          <w:rFonts w:asciiTheme="majorBidi" w:hAnsiTheme="majorBidi" w:cstheme="majorBidi"/>
          <w:color w:val="131413"/>
          <w:sz w:val="24"/>
          <w:szCs w:val="24"/>
        </w:rPr>
      </w:pPr>
    </w:p>
    <w:p w:rsidR="005935D7" w:rsidRPr="00C1129C" w:rsidRDefault="005935D7" w:rsidP="005935D7">
      <w:pPr>
        <w:jc w:val="both"/>
        <w:rPr>
          <w:rFonts w:asciiTheme="majorBidi" w:hAnsiTheme="majorBidi" w:cstheme="majorBidi"/>
          <w:b/>
          <w:sz w:val="24"/>
          <w:szCs w:val="24"/>
        </w:rPr>
      </w:pPr>
      <w:r w:rsidRPr="00C1129C">
        <w:rPr>
          <w:rFonts w:asciiTheme="majorBidi" w:hAnsiTheme="majorBidi" w:cstheme="majorBidi"/>
          <w:b/>
          <w:sz w:val="24"/>
          <w:szCs w:val="24"/>
        </w:rPr>
        <w:lastRenderedPageBreak/>
        <w:t>Biography</w:t>
      </w:r>
    </w:p>
    <w:p w:rsidR="005935D7" w:rsidRPr="00C1129C" w:rsidRDefault="005935D7" w:rsidP="00B233D2">
      <w:pPr>
        <w:autoSpaceDE w:val="0"/>
        <w:autoSpaceDN w:val="0"/>
        <w:adjustRightInd w:val="0"/>
        <w:spacing w:after="0" w:line="360" w:lineRule="auto"/>
        <w:rPr>
          <w:rFonts w:asciiTheme="majorBidi" w:hAnsiTheme="majorBidi" w:cstheme="majorBidi"/>
          <w:color w:val="131413"/>
          <w:sz w:val="24"/>
          <w:szCs w:val="24"/>
        </w:rPr>
      </w:pPr>
      <w:r w:rsidRPr="00C1129C">
        <w:rPr>
          <w:rFonts w:asciiTheme="majorBidi" w:hAnsiTheme="majorBidi" w:cstheme="majorBidi"/>
          <w:sz w:val="24"/>
          <w:szCs w:val="24"/>
        </w:rPr>
        <w:t xml:space="preserve">Farzaneh has completed her MSc in orthodontics at the age of 27 years from Shahid Sadoughi University of Medical Sciences. </w:t>
      </w:r>
      <w:r w:rsidR="00B233D2" w:rsidRPr="00C1129C">
        <w:rPr>
          <w:rFonts w:asciiTheme="majorBidi" w:hAnsiTheme="majorBidi" w:cstheme="majorBidi"/>
          <w:sz w:val="24"/>
          <w:szCs w:val="24"/>
        </w:rPr>
        <w:t>She is an</w:t>
      </w:r>
      <w:r w:rsidRPr="00C1129C">
        <w:rPr>
          <w:rFonts w:asciiTheme="majorBidi" w:hAnsiTheme="majorBidi" w:cstheme="majorBidi"/>
          <w:sz w:val="24"/>
          <w:szCs w:val="24"/>
        </w:rPr>
        <w:t xml:space="preserve"> associate professor of orthodontics at Mashhad University of Medical Sciences.  She had done the first long-term evaluation of the IL-6 concentration in orthodontic patients.</w:t>
      </w:r>
      <w:r w:rsidRPr="00C1129C">
        <w:rPr>
          <w:rFonts w:asciiTheme="majorBidi" w:hAnsiTheme="majorBidi" w:cstheme="majorBidi"/>
          <w:i/>
          <w:iCs/>
          <w:sz w:val="24"/>
          <w:szCs w:val="24"/>
        </w:rPr>
        <w:t xml:space="preserve"> S</w:t>
      </w:r>
      <w:r w:rsidRPr="00C1129C">
        <w:rPr>
          <w:rFonts w:asciiTheme="majorBidi" w:hAnsiTheme="majorBidi" w:cstheme="majorBidi"/>
          <w:sz w:val="24"/>
          <w:szCs w:val="24"/>
        </w:rPr>
        <w:t>he has published some papers in reputed journals and has been serving as an editorial board member of two dentistry journals.</w:t>
      </w:r>
      <w:r w:rsidRPr="00C1129C">
        <w:rPr>
          <w:rFonts w:asciiTheme="majorBidi" w:hAnsiTheme="majorBidi" w:cstheme="majorBidi"/>
          <w:sz w:val="24"/>
          <w:szCs w:val="24"/>
        </w:rPr>
        <w:tab/>
      </w:r>
      <w:r w:rsidRPr="00C1129C">
        <w:rPr>
          <w:rFonts w:asciiTheme="majorBidi" w:hAnsiTheme="majorBidi" w:cstheme="majorBidi"/>
          <w:sz w:val="24"/>
          <w:szCs w:val="24"/>
        </w:rPr>
        <w:br/>
      </w:r>
    </w:p>
    <w:p w:rsidR="005935D7" w:rsidRPr="00C1129C" w:rsidRDefault="005935D7" w:rsidP="005935D7">
      <w:pPr>
        <w:rPr>
          <w:rFonts w:asciiTheme="majorBidi" w:hAnsiTheme="majorBidi" w:cstheme="majorBidi"/>
          <w:bCs/>
          <w:sz w:val="24"/>
          <w:szCs w:val="24"/>
        </w:rPr>
      </w:pPr>
      <w:r w:rsidRPr="00C1129C">
        <w:rPr>
          <w:rFonts w:asciiTheme="majorBidi" w:hAnsiTheme="majorBidi" w:cstheme="majorBidi"/>
          <w:b/>
          <w:sz w:val="24"/>
          <w:szCs w:val="24"/>
          <w:lang w:val="en-NZ"/>
        </w:rPr>
        <w:t>Presenting author details</w:t>
      </w:r>
      <w:r w:rsidRPr="00C1129C">
        <w:rPr>
          <w:rFonts w:asciiTheme="majorBidi" w:hAnsiTheme="majorBidi" w:cstheme="majorBidi"/>
          <w:b/>
          <w:sz w:val="24"/>
          <w:szCs w:val="24"/>
          <w:lang w:val="en-NZ"/>
        </w:rPr>
        <w:br/>
      </w:r>
      <w:r w:rsidRPr="00C1129C">
        <w:rPr>
          <w:rFonts w:asciiTheme="majorBidi" w:hAnsiTheme="majorBidi" w:cstheme="majorBidi"/>
          <w:sz w:val="24"/>
          <w:szCs w:val="24"/>
          <w:lang w:val="en-NZ"/>
        </w:rPr>
        <w:br/>
      </w:r>
      <w:r w:rsidRPr="00C1129C">
        <w:rPr>
          <w:rFonts w:asciiTheme="majorBidi" w:hAnsiTheme="majorBidi" w:cstheme="majorBidi"/>
          <w:bCs/>
          <w:sz w:val="24"/>
          <w:szCs w:val="24"/>
        </w:rPr>
        <w:t>Full name: Farzaneh Eslami</w:t>
      </w:r>
    </w:p>
    <w:p w:rsidR="005935D7" w:rsidRPr="00C1129C" w:rsidRDefault="005935D7" w:rsidP="005935D7">
      <w:pPr>
        <w:autoSpaceDE w:val="0"/>
        <w:autoSpaceDN w:val="0"/>
        <w:adjustRightInd w:val="0"/>
        <w:spacing w:after="0" w:line="240" w:lineRule="auto"/>
        <w:rPr>
          <w:rFonts w:asciiTheme="majorBidi" w:hAnsiTheme="majorBidi" w:cstheme="majorBidi"/>
          <w:bCs/>
          <w:sz w:val="24"/>
          <w:szCs w:val="24"/>
        </w:rPr>
      </w:pPr>
      <w:r w:rsidRPr="00C1129C">
        <w:rPr>
          <w:rFonts w:asciiTheme="majorBidi" w:hAnsiTheme="majorBidi" w:cstheme="majorBidi"/>
          <w:bCs/>
          <w:sz w:val="24"/>
          <w:szCs w:val="24"/>
        </w:rPr>
        <w:t>University name: Mashhad University of Medical Sciences, Mashhad,</w:t>
      </w:r>
      <w:r w:rsidR="00B233D2" w:rsidRPr="00C1129C">
        <w:rPr>
          <w:rFonts w:asciiTheme="majorBidi" w:hAnsiTheme="majorBidi" w:cstheme="majorBidi"/>
          <w:bCs/>
          <w:sz w:val="24"/>
          <w:szCs w:val="24"/>
        </w:rPr>
        <w:t xml:space="preserve"> </w:t>
      </w:r>
      <w:r w:rsidRPr="00C1129C">
        <w:rPr>
          <w:rFonts w:asciiTheme="majorBidi" w:hAnsiTheme="majorBidi" w:cstheme="majorBidi"/>
          <w:bCs/>
          <w:sz w:val="24"/>
          <w:szCs w:val="24"/>
        </w:rPr>
        <w:t>Iran</w:t>
      </w:r>
    </w:p>
    <w:p w:rsidR="00B233D2" w:rsidRPr="00C1129C" w:rsidRDefault="005935D7" w:rsidP="00B233D2">
      <w:pPr>
        <w:pStyle w:val="Default"/>
        <w:rPr>
          <w:rFonts w:asciiTheme="majorBidi" w:eastAsiaTheme="minorHAnsi" w:hAnsiTheme="majorBidi" w:cstheme="majorBidi"/>
        </w:rPr>
      </w:pPr>
      <w:r w:rsidRPr="00C1129C">
        <w:rPr>
          <w:rFonts w:asciiTheme="majorBidi" w:hAnsiTheme="majorBidi" w:cstheme="majorBidi"/>
          <w:bCs/>
        </w:rPr>
        <w:t>Designation</w:t>
      </w:r>
      <w:r w:rsidR="00B233D2" w:rsidRPr="00C1129C">
        <w:rPr>
          <w:rFonts w:asciiTheme="majorBidi" w:hAnsiTheme="majorBidi" w:cstheme="majorBidi"/>
          <w:bCs/>
        </w:rPr>
        <w:t xml:space="preserve">: </w:t>
      </w:r>
      <w:r w:rsidR="00B233D2" w:rsidRPr="00B233D2">
        <w:rPr>
          <w:rFonts w:asciiTheme="majorBidi" w:hAnsiTheme="majorBidi" w:cstheme="majorBidi"/>
        </w:rPr>
        <w:t>Associate Professor</w:t>
      </w:r>
    </w:p>
    <w:tbl>
      <w:tblPr>
        <w:tblW w:w="0" w:type="auto"/>
        <w:tblBorders>
          <w:top w:val="nil"/>
          <w:left w:val="nil"/>
          <w:bottom w:val="nil"/>
          <w:right w:val="nil"/>
        </w:tblBorders>
        <w:tblLayout w:type="fixed"/>
        <w:tblLook w:val="0000"/>
      </w:tblPr>
      <w:tblGrid>
        <w:gridCol w:w="1509"/>
      </w:tblGrid>
      <w:tr w:rsidR="00B233D2" w:rsidRPr="00B233D2">
        <w:tblPrEx>
          <w:tblCellMar>
            <w:top w:w="0" w:type="dxa"/>
            <w:bottom w:w="0" w:type="dxa"/>
          </w:tblCellMar>
        </w:tblPrEx>
        <w:trPr>
          <w:trHeight w:val="91"/>
        </w:trPr>
        <w:tc>
          <w:tcPr>
            <w:tcW w:w="1509" w:type="dxa"/>
          </w:tcPr>
          <w:p w:rsidR="00B233D2" w:rsidRPr="00B233D2" w:rsidRDefault="00B233D2" w:rsidP="00B233D2">
            <w:pPr>
              <w:autoSpaceDE w:val="0"/>
              <w:autoSpaceDN w:val="0"/>
              <w:adjustRightInd w:val="0"/>
              <w:spacing w:after="0" w:line="240" w:lineRule="auto"/>
              <w:rPr>
                <w:rFonts w:asciiTheme="majorBidi" w:hAnsiTheme="majorBidi" w:cstheme="majorBidi"/>
                <w:color w:val="000000"/>
                <w:sz w:val="24"/>
                <w:szCs w:val="24"/>
              </w:rPr>
            </w:pPr>
            <w:r w:rsidRPr="00B233D2">
              <w:rPr>
                <w:rFonts w:asciiTheme="majorBidi" w:hAnsiTheme="majorBidi" w:cstheme="majorBidi"/>
                <w:color w:val="000000"/>
                <w:sz w:val="24"/>
                <w:szCs w:val="24"/>
              </w:rPr>
              <w:t xml:space="preserve"> </w:t>
            </w:r>
          </w:p>
        </w:tc>
      </w:tr>
    </w:tbl>
    <w:p w:rsidR="005935D7" w:rsidRPr="00C1129C" w:rsidRDefault="005935D7" w:rsidP="005935D7">
      <w:pPr>
        <w:rPr>
          <w:rFonts w:asciiTheme="majorBidi" w:hAnsiTheme="majorBidi" w:cstheme="majorBidi"/>
          <w:bCs/>
          <w:sz w:val="24"/>
          <w:szCs w:val="24"/>
        </w:rPr>
      </w:pPr>
      <w:r w:rsidRPr="00C1129C">
        <w:rPr>
          <w:rFonts w:asciiTheme="majorBidi" w:hAnsiTheme="majorBidi" w:cstheme="majorBidi"/>
          <w:bCs/>
          <w:sz w:val="24"/>
          <w:szCs w:val="24"/>
        </w:rPr>
        <w:t>Country: Iran</w:t>
      </w:r>
    </w:p>
    <w:p w:rsidR="005935D7" w:rsidRPr="00C1129C" w:rsidRDefault="005935D7" w:rsidP="005935D7">
      <w:pPr>
        <w:rPr>
          <w:rFonts w:asciiTheme="majorBidi" w:hAnsiTheme="majorBidi" w:cstheme="majorBidi"/>
          <w:bCs/>
          <w:sz w:val="24"/>
          <w:szCs w:val="24"/>
        </w:rPr>
      </w:pPr>
      <w:r w:rsidRPr="00C1129C">
        <w:rPr>
          <w:rFonts w:asciiTheme="majorBidi" w:hAnsiTheme="majorBidi" w:cstheme="majorBidi"/>
          <w:bCs/>
          <w:sz w:val="24"/>
          <w:szCs w:val="24"/>
        </w:rPr>
        <w:t>Mobile number :00989151579646</w:t>
      </w:r>
    </w:p>
    <w:p w:rsidR="005935D7" w:rsidRPr="00C1129C" w:rsidRDefault="005935D7" w:rsidP="005935D7">
      <w:pPr>
        <w:rPr>
          <w:rFonts w:asciiTheme="majorBidi" w:hAnsiTheme="majorBidi" w:cstheme="majorBidi"/>
          <w:bCs/>
          <w:sz w:val="24"/>
          <w:szCs w:val="24"/>
        </w:rPr>
      </w:pPr>
      <w:r w:rsidRPr="00C1129C">
        <w:rPr>
          <w:rFonts w:asciiTheme="majorBidi" w:hAnsiTheme="majorBidi" w:cstheme="majorBidi"/>
          <w:bCs/>
          <w:sz w:val="24"/>
          <w:szCs w:val="24"/>
        </w:rPr>
        <w:t>Email:farzaneheslami1989@gmail.com</w:t>
      </w:r>
    </w:p>
    <w:p w:rsidR="005935D7" w:rsidRPr="00C1129C" w:rsidRDefault="005935D7" w:rsidP="00B233D2">
      <w:pPr>
        <w:pStyle w:val="Heading4"/>
        <w:rPr>
          <w:rFonts w:asciiTheme="majorBidi" w:hAnsiTheme="majorBidi" w:cstheme="majorBidi"/>
          <w:b w:val="0"/>
          <w:bCs w:val="0"/>
        </w:rPr>
      </w:pPr>
      <w:r w:rsidRPr="00C1129C">
        <w:rPr>
          <w:rFonts w:asciiTheme="majorBidi" w:hAnsiTheme="majorBidi" w:cstheme="majorBidi"/>
          <w:b w:val="0"/>
        </w:rPr>
        <w:t xml:space="preserve">Track number: </w:t>
      </w:r>
      <w:r w:rsidR="00B233D2" w:rsidRPr="00C1129C">
        <w:rPr>
          <w:rFonts w:asciiTheme="majorBidi" w:hAnsiTheme="majorBidi" w:cstheme="majorBidi"/>
          <w:b w:val="0"/>
          <w:bCs w:val="0"/>
        </w:rPr>
        <w:t>Track 1-3Dental Radiology</w:t>
      </w:r>
    </w:p>
    <w:p w:rsidR="005935D7" w:rsidRPr="00C1129C" w:rsidRDefault="005935D7" w:rsidP="00B233D2">
      <w:pPr>
        <w:rPr>
          <w:rFonts w:asciiTheme="majorBidi" w:hAnsiTheme="majorBidi" w:cstheme="majorBidi"/>
          <w:bCs/>
          <w:sz w:val="24"/>
          <w:szCs w:val="24"/>
          <w:lang w:val="en-NZ"/>
        </w:rPr>
      </w:pPr>
      <w:r w:rsidRPr="00C1129C">
        <w:rPr>
          <w:rFonts w:asciiTheme="majorBidi" w:hAnsiTheme="majorBidi" w:cstheme="majorBidi"/>
          <w:bCs/>
          <w:sz w:val="24"/>
          <w:szCs w:val="24"/>
          <w:lang w:val="en-NZ"/>
        </w:rPr>
        <w:t xml:space="preserve">Category: </w:t>
      </w:r>
      <w:r w:rsidR="00B233D2" w:rsidRPr="00C1129C">
        <w:rPr>
          <w:rFonts w:asciiTheme="majorBidi" w:hAnsiTheme="majorBidi" w:cstheme="majorBidi"/>
          <w:bCs/>
          <w:sz w:val="24"/>
          <w:szCs w:val="24"/>
          <w:lang w:val="en-NZ"/>
        </w:rPr>
        <w:t>Poster presentation</w:t>
      </w:r>
    </w:p>
    <w:p w:rsidR="005935D7" w:rsidRPr="00C1129C" w:rsidRDefault="005935D7" w:rsidP="00C1129C">
      <w:pPr>
        <w:rPr>
          <w:rFonts w:asciiTheme="majorBidi" w:hAnsiTheme="majorBidi" w:cstheme="majorBidi"/>
          <w:bCs/>
          <w:sz w:val="24"/>
          <w:szCs w:val="24"/>
        </w:rPr>
      </w:pPr>
      <w:r w:rsidRPr="00C1129C">
        <w:rPr>
          <w:rFonts w:asciiTheme="majorBidi" w:hAnsiTheme="majorBidi" w:cstheme="majorBidi"/>
          <w:bCs/>
          <w:sz w:val="24"/>
          <w:szCs w:val="24"/>
        </w:rPr>
        <w:t>Research interest</w:t>
      </w:r>
      <w:r w:rsidR="00C1129C" w:rsidRPr="00C1129C">
        <w:rPr>
          <w:rFonts w:asciiTheme="majorBidi" w:hAnsiTheme="majorBidi" w:cstheme="majorBidi"/>
          <w:bCs/>
          <w:sz w:val="24"/>
          <w:szCs w:val="24"/>
        </w:rPr>
        <w:t>: Cone Beam Computed Tomograghy, Orthodontics</w:t>
      </w:r>
    </w:p>
    <w:p w:rsidR="005935D7" w:rsidRPr="00C1129C" w:rsidRDefault="005935D7" w:rsidP="005935D7">
      <w:pPr>
        <w:rPr>
          <w:rFonts w:asciiTheme="majorBidi" w:hAnsiTheme="majorBidi" w:cstheme="majorBidi"/>
          <w:sz w:val="24"/>
          <w:szCs w:val="24"/>
        </w:rPr>
      </w:pPr>
      <w:r w:rsidRPr="00C1129C">
        <w:rPr>
          <w:rFonts w:asciiTheme="majorBidi" w:hAnsiTheme="majorBidi" w:cstheme="majorBidi"/>
          <w:sz w:val="24"/>
          <w:szCs w:val="24"/>
        </w:rPr>
        <w:t>Year of birth:1988</w:t>
      </w:r>
    </w:p>
    <w:p w:rsidR="005935D7" w:rsidRPr="00C1129C" w:rsidRDefault="005935D7" w:rsidP="005935D7">
      <w:pPr>
        <w:autoSpaceDE w:val="0"/>
        <w:autoSpaceDN w:val="0"/>
        <w:adjustRightInd w:val="0"/>
        <w:spacing w:after="0" w:line="360" w:lineRule="auto"/>
        <w:rPr>
          <w:rFonts w:asciiTheme="majorBidi" w:hAnsiTheme="majorBidi" w:cstheme="majorBidi"/>
          <w:color w:val="131413"/>
          <w:sz w:val="24"/>
          <w:szCs w:val="24"/>
        </w:rPr>
      </w:pPr>
    </w:p>
    <w:p w:rsidR="005935D7" w:rsidRPr="00C1129C" w:rsidRDefault="005935D7" w:rsidP="005935D7">
      <w:pPr>
        <w:autoSpaceDE w:val="0"/>
        <w:autoSpaceDN w:val="0"/>
        <w:adjustRightInd w:val="0"/>
        <w:spacing w:after="0" w:line="360" w:lineRule="auto"/>
        <w:rPr>
          <w:rFonts w:asciiTheme="majorBidi" w:hAnsiTheme="majorBidi" w:cstheme="majorBidi"/>
          <w:color w:val="131413"/>
          <w:sz w:val="24"/>
          <w:szCs w:val="24"/>
        </w:rPr>
      </w:pPr>
    </w:p>
    <w:p w:rsidR="005935D7" w:rsidRPr="00C1129C" w:rsidRDefault="005935D7" w:rsidP="005935D7">
      <w:pPr>
        <w:autoSpaceDE w:val="0"/>
        <w:autoSpaceDN w:val="0"/>
        <w:adjustRightInd w:val="0"/>
        <w:spacing w:after="0" w:line="360" w:lineRule="auto"/>
        <w:rPr>
          <w:rFonts w:asciiTheme="majorBidi" w:hAnsiTheme="majorBidi" w:cstheme="majorBidi"/>
          <w:color w:val="131413"/>
          <w:sz w:val="24"/>
          <w:szCs w:val="24"/>
        </w:rPr>
      </w:pPr>
    </w:p>
    <w:p w:rsidR="005935D7" w:rsidRPr="00C1129C" w:rsidRDefault="005935D7" w:rsidP="005935D7">
      <w:pPr>
        <w:autoSpaceDE w:val="0"/>
        <w:autoSpaceDN w:val="0"/>
        <w:adjustRightInd w:val="0"/>
        <w:spacing w:after="0" w:line="360" w:lineRule="auto"/>
        <w:rPr>
          <w:rFonts w:asciiTheme="majorBidi" w:hAnsiTheme="majorBidi" w:cstheme="majorBidi"/>
          <w:b/>
          <w:bCs/>
          <w:color w:val="131413"/>
          <w:sz w:val="24"/>
          <w:szCs w:val="24"/>
        </w:rPr>
      </w:pPr>
    </w:p>
    <w:p w:rsidR="005935D7" w:rsidRPr="00C1129C" w:rsidRDefault="005935D7" w:rsidP="005935D7">
      <w:pPr>
        <w:rPr>
          <w:rFonts w:asciiTheme="majorBidi" w:hAnsiTheme="majorBidi" w:cstheme="majorBidi"/>
          <w:sz w:val="24"/>
          <w:szCs w:val="24"/>
        </w:rPr>
      </w:pPr>
    </w:p>
    <w:p w:rsidR="006F5482" w:rsidRPr="00C1129C" w:rsidRDefault="006F5482" w:rsidP="008A73AB">
      <w:pPr>
        <w:jc w:val="center"/>
        <w:rPr>
          <w:rFonts w:asciiTheme="majorBidi" w:hAnsiTheme="majorBidi" w:cstheme="majorBidi"/>
          <w:sz w:val="24"/>
          <w:szCs w:val="24"/>
        </w:rPr>
      </w:pPr>
    </w:p>
    <w:p w:rsidR="005935D7" w:rsidRPr="00C1129C" w:rsidRDefault="005935D7" w:rsidP="008A73AB">
      <w:pPr>
        <w:jc w:val="center"/>
        <w:rPr>
          <w:rFonts w:asciiTheme="majorBidi" w:hAnsiTheme="majorBidi" w:cstheme="majorBidi"/>
          <w:sz w:val="24"/>
          <w:szCs w:val="24"/>
        </w:rPr>
      </w:pPr>
    </w:p>
    <w:p w:rsidR="005935D7" w:rsidRPr="00C1129C" w:rsidRDefault="005935D7" w:rsidP="008A73AB">
      <w:pPr>
        <w:jc w:val="center"/>
        <w:rPr>
          <w:rFonts w:asciiTheme="majorBidi" w:hAnsiTheme="majorBidi" w:cstheme="majorBidi"/>
          <w:sz w:val="24"/>
          <w:szCs w:val="24"/>
        </w:rPr>
      </w:pPr>
    </w:p>
    <w:p w:rsidR="005935D7" w:rsidRPr="00C1129C" w:rsidRDefault="005935D7" w:rsidP="008A73AB">
      <w:pPr>
        <w:jc w:val="center"/>
        <w:rPr>
          <w:rFonts w:asciiTheme="majorBidi" w:hAnsiTheme="majorBidi" w:cstheme="majorBidi"/>
          <w:sz w:val="24"/>
          <w:szCs w:val="24"/>
        </w:rPr>
      </w:pPr>
    </w:p>
    <w:p w:rsidR="005935D7" w:rsidRPr="00C1129C" w:rsidRDefault="005935D7" w:rsidP="008A73AB">
      <w:pPr>
        <w:jc w:val="center"/>
        <w:rPr>
          <w:rFonts w:asciiTheme="majorBidi" w:hAnsiTheme="majorBidi" w:cstheme="majorBidi"/>
          <w:sz w:val="24"/>
          <w:szCs w:val="24"/>
        </w:rPr>
      </w:pPr>
    </w:p>
    <w:p w:rsidR="005935D7" w:rsidRPr="00C1129C" w:rsidRDefault="005935D7" w:rsidP="008A73AB">
      <w:pPr>
        <w:jc w:val="center"/>
        <w:rPr>
          <w:rFonts w:asciiTheme="majorBidi" w:hAnsiTheme="majorBidi" w:cstheme="majorBidi"/>
          <w:sz w:val="24"/>
          <w:szCs w:val="24"/>
        </w:rPr>
      </w:pPr>
    </w:p>
    <w:p w:rsidR="005935D7" w:rsidRPr="00C1129C" w:rsidRDefault="005935D7" w:rsidP="008A73AB">
      <w:pPr>
        <w:jc w:val="center"/>
        <w:rPr>
          <w:rFonts w:asciiTheme="majorBidi" w:hAnsiTheme="majorBidi" w:cstheme="majorBidi"/>
          <w:sz w:val="24"/>
          <w:szCs w:val="24"/>
        </w:rPr>
      </w:pPr>
    </w:p>
    <w:p w:rsidR="005935D7" w:rsidRPr="00C1129C" w:rsidRDefault="005935D7" w:rsidP="008A73AB">
      <w:pPr>
        <w:jc w:val="center"/>
        <w:rPr>
          <w:rFonts w:asciiTheme="majorBidi" w:hAnsiTheme="majorBidi" w:cstheme="majorBidi"/>
          <w:sz w:val="24"/>
          <w:szCs w:val="24"/>
        </w:rPr>
      </w:pPr>
    </w:p>
    <w:p w:rsidR="005935D7" w:rsidRPr="00C1129C" w:rsidRDefault="005935D7" w:rsidP="008A73AB">
      <w:pPr>
        <w:jc w:val="center"/>
        <w:rPr>
          <w:rFonts w:asciiTheme="majorBidi" w:hAnsiTheme="majorBidi" w:cstheme="majorBidi"/>
          <w:sz w:val="24"/>
          <w:szCs w:val="24"/>
        </w:rPr>
      </w:pPr>
    </w:p>
    <w:sectPr w:rsidR="005935D7" w:rsidRPr="00C1129C" w:rsidSect="006F548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6C54" w:rsidRDefault="00FD6C54" w:rsidP="00CF3FCD">
      <w:pPr>
        <w:spacing w:after="0" w:line="240" w:lineRule="auto"/>
      </w:pPr>
      <w:r>
        <w:separator/>
      </w:r>
    </w:p>
  </w:endnote>
  <w:endnote w:type="continuationSeparator" w:id="1">
    <w:p w:rsidR="00FD6C54" w:rsidRDefault="00FD6C54" w:rsidP="00CF3F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6C54" w:rsidRDefault="00FD6C54" w:rsidP="00CF3FCD">
      <w:pPr>
        <w:spacing w:after="0" w:line="240" w:lineRule="auto"/>
      </w:pPr>
      <w:r>
        <w:separator/>
      </w:r>
    </w:p>
  </w:footnote>
  <w:footnote w:type="continuationSeparator" w:id="1">
    <w:p w:rsidR="00FD6C54" w:rsidRDefault="00FD6C54" w:rsidP="00CF3FC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characterSpacingControl w:val="doNotCompress"/>
  <w:footnotePr>
    <w:footnote w:id="0"/>
    <w:footnote w:id="1"/>
  </w:footnotePr>
  <w:endnotePr>
    <w:endnote w:id="0"/>
    <w:endnote w:id="1"/>
  </w:endnotePr>
  <w:compat/>
  <w:rsids>
    <w:rsidRoot w:val="008A73AB"/>
    <w:rsid w:val="00163135"/>
    <w:rsid w:val="0017492F"/>
    <w:rsid w:val="002348DB"/>
    <w:rsid w:val="002E0C60"/>
    <w:rsid w:val="00415416"/>
    <w:rsid w:val="004777B8"/>
    <w:rsid w:val="00582CA3"/>
    <w:rsid w:val="005935D7"/>
    <w:rsid w:val="00681D7A"/>
    <w:rsid w:val="006F5482"/>
    <w:rsid w:val="0084460B"/>
    <w:rsid w:val="008A73AB"/>
    <w:rsid w:val="008E7EAA"/>
    <w:rsid w:val="0094680B"/>
    <w:rsid w:val="009A7035"/>
    <w:rsid w:val="009D4932"/>
    <w:rsid w:val="00A31A85"/>
    <w:rsid w:val="00A56E53"/>
    <w:rsid w:val="00AB1A36"/>
    <w:rsid w:val="00AF600B"/>
    <w:rsid w:val="00B16E0A"/>
    <w:rsid w:val="00B233D2"/>
    <w:rsid w:val="00B87EC2"/>
    <w:rsid w:val="00BB1618"/>
    <w:rsid w:val="00BF1609"/>
    <w:rsid w:val="00C1129C"/>
    <w:rsid w:val="00C85C14"/>
    <w:rsid w:val="00CF3FCD"/>
    <w:rsid w:val="00E05ECB"/>
    <w:rsid w:val="00E10F1A"/>
    <w:rsid w:val="00E77BEE"/>
    <w:rsid w:val="00EF2219"/>
    <w:rsid w:val="00F000E2"/>
    <w:rsid w:val="00F27D7C"/>
    <w:rsid w:val="00F65F8C"/>
    <w:rsid w:val="00FD6C5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932"/>
  </w:style>
  <w:style w:type="paragraph" w:styleId="Heading4">
    <w:name w:val="heading 4"/>
    <w:basedOn w:val="Normal"/>
    <w:link w:val="Heading4Char"/>
    <w:uiPriority w:val="9"/>
    <w:qFormat/>
    <w:rsid w:val="005935D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73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73AB"/>
    <w:rPr>
      <w:rFonts w:ascii="Tahoma" w:hAnsi="Tahoma" w:cs="Tahoma"/>
      <w:sz w:val="16"/>
      <w:szCs w:val="16"/>
    </w:rPr>
  </w:style>
  <w:style w:type="paragraph" w:styleId="Header">
    <w:name w:val="header"/>
    <w:basedOn w:val="Normal"/>
    <w:link w:val="HeaderChar"/>
    <w:uiPriority w:val="99"/>
    <w:semiHidden/>
    <w:unhideWhenUsed/>
    <w:rsid w:val="00CF3FC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F3FCD"/>
  </w:style>
  <w:style w:type="paragraph" w:styleId="Footer">
    <w:name w:val="footer"/>
    <w:basedOn w:val="Normal"/>
    <w:link w:val="FooterChar"/>
    <w:uiPriority w:val="99"/>
    <w:semiHidden/>
    <w:unhideWhenUsed/>
    <w:rsid w:val="00CF3FC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F3FCD"/>
  </w:style>
  <w:style w:type="paragraph" w:customStyle="1" w:styleId="Default">
    <w:name w:val="Default"/>
    <w:rsid w:val="0094680B"/>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customStyle="1" w:styleId="Heading4Char">
    <w:name w:val="Heading 4 Char"/>
    <w:basedOn w:val="DefaultParagraphFont"/>
    <w:link w:val="Heading4"/>
    <w:uiPriority w:val="9"/>
    <w:rsid w:val="005935D7"/>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5935D7"/>
    <w:rPr>
      <w:color w:val="0000FF"/>
      <w:u w:val="single"/>
    </w:rPr>
  </w:style>
</w:styles>
</file>

<file path=word/webSettings.xml><?xml version="1.0" encoding="utf-8"?>
<w:webSettings xmlns:r="http://schemas.openxmlformats.org/officeDocument/2006/relationships" xmlns:w="http://schemas.openxmlformats.org/wordprocessingml/2006/main">
  <w:divs>
    <w:div w:id="1831095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584</Words>
  <Characters>3332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3909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MRT</dc:creator>
  <cp:lastModifiedBy>FARZANEH</cp:lastModifiedBy>
  <cp:revision>6</cp:revision>
  <dcterms:created xsi:type="dcterms:W3CDTF">2019-06-08T07:01:00Z</dcterms:created>
  <dcterms:modified xsi:type="dcterms:W3CDTF">2019-06-08T07:07:00Z</dcterms:modified>
</cp:coreProperties>
</file>