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D56" w:rsidRPr="00560D56" w:rsidRDefault="00560D56" w:rsidP="00560D56">
      <w:pPr>
        <w:spacing w:after="200" w:line="276" w:lineRule="auto"/>
        <w:jc w:val="both"/>
        <w:rPr>
          <w:rFonts w:ascii="Arial" w:eastAsia="Times New Roman" w:hAnsi="Arial" w:cs="B Nazanin"/>
          <w:b/>
          <w:bCs/>
          <w:color w:val="000000"/>
          <w:sz w:val="24"/>
          <w:szCs w:val="24"/>
          <w:shd w:val="clear" w:color="auto" w:fill="F5F5F5"/>
          <w:lang w:bidi="fa-IR"/>
        </w:rPr>
      </w:pPr>
      <w:r w:rsidRPr="00560D56">
        <w:rPr>
          <w:rFonts w:ascii="Arial" w:eastAsia="Times New Roman" w:hAnsi="Arial" w:cs="B Nazanin"/>
          <w:b/>
          <w:bCs/>
          <w:color w:val="000000"/>
          <w:sz w:val="24"/>
          <w:szCs w:val="24"/>
          <w:shd w:val="clear" w:color="auto" w:fill="F5F5F5"/>
          <w:lang w:bidi="fa-IR"/>
        </w:rPr>
        <w:t>Effects of different bone allografts</w:t>
      </w:r>
      <w:r w:rsidRPr="00560D56">
        <w:rPr>
          <w:rFonts w:ascii="Arial" w:eastAsia="Times New Roman" w:hAnsi="Arial" w:cs="Arial" w:hint="cs"/>
          <w:b/>
          <w:bCs/>
          <w:color w:val="000000"/>
          <w:sz w:val="24"/>
          <w:szCs w:val="24"/>
          <w:shd w:val="clear" w:color="auto" w:fill="F5F5F5"/>
          <w:rtl/>
          <w:lang w:bidi="fa-IR"/>
        </w:rPr>
        <w:t> </w:t>
      </w:r>
      <w:r w:rsidRPr="00560D56">
        <w:rPr>
          <w:rFonts w:ascii="Arial" w:eastAsia="Times New Roman" w:hAnsi="Arial" w:cs="B Nazanin"/>
          <w:b/>
          <w:bCs/>
          <w:color w:val="000000"/>
          <w:sz w:val="24"/>
          <w:szCs w:val="24"/>
          <w:shd w:val="clear" w:color="auto" w:fill="F5F5F5"/>
          <w:lang w:bidi="fa-IR"/>
        </w:rPr>
        <w:t>with and without growth factors on proliferation, osteogenic differentiation and mineralization of MG-63</w:t>
      </w:r>
      <w:r w:rsidRPr="00560D56">
        <w:rPr>
          <w:rFonts w:ascii="Arial" w:eastAsia="Times New Roman" w:hAnsi="Arial" w:cs="B Nazanin"/>
          <w:b/>
          <w:bCs/>
          <w:i/>
          <w:iCs/>
          <w:color w:val="000000"/>
          <w:sz w:val="24"/>
          <w:szCs w:val="24"/>
          <w:shd w:val="clear" w:color="auto" w:fill="F5F5F5"/>
          <w:lang w:bidi="fa-IR"/>
        </w:rPr>
        <w:t xml:space="preserve"> </w:t>
      </w:r>
      <w:r w:rsidRPr="00560D56">
        <w:rPr>
          <w:rFonts w:ascii="Arial" w:eastAsia="Times New Roman" w:hAnsi="Arial" w:cs="B Nazanin"/>
          <w:b/>
          <w:bCs/>
          <w:color w:val="000000"/>
          <w:sz w:val="24"/>
          <w:szCs w:val="24"/>
          <w:shd w:val="clear" w:color="auto" w:fill="F5F5F5"/>
          <w:lang w:bidi="fa-IR"/>
        </w:rPr>
        <w:t>osteoblast-like cells</w:t>
      </w:r>
    </w:p>
    <w:p w:rsidR="00560D56" w:rsidRPr="00560D56" w:rsidRDefault="00560D56" w:rsidP="00560D56">
      <w:pPr>
        <w:spacing w:after="200" w:line="276" w:lineRule="auto"/>
        <w:jc w:val="both"/>
        <w:rPr>
          <w:rFonts w:ascii="Arial" w:eastAsia="Times New Roman" w:hAnsi="Arial" w:cs="B Nazanin"/>
          <w:color w:val="000000"/>
          <w:sz w:val="20"/>
          <w:szCs w:val="20"/>
          <w:shd w:val="clear" w:color="auto" w:fill="F5F5F5"/>
          <w:lang w:bidi="fa-IR"/>
        </w:rPr>
      </w:pPr>
      <w:r w:rsidRPr="00560D56">
        <w:rPr>
          <w:rFonts w:ascii="Arial" w:eastAsia="Times New Roman" w:hAnsi="Arial" w:cs="B Nazanin"/>
          <w:color w:val="000000"/>
          <w:sz w:val="20"/>
          <w:szCs w:val="20"/>
          <w:shd w:val="clear" w:color="auto" w:fill="F5F5F5"/>
          <w:lang w:bidi="fa-IR"/>
        </w:rPr>
        <w:t>Surena Vahabi</w:t>
      </w:r>
    </w:p>
    <w:p w:rsidR="00560D56" w:rsidRPr="00560D56" w:rsidRDefault="00560D56" w:rsidP="00560D56">
      <w:pPr>
        <w:spacing w:after="200" w:line="276" w:lineRule="auto"/>
        <w:jc w:val="both"/>
        <w:rPr>
          <w:rFonts w:ascii="Calibri" w:eastAsia="Times New Roman" w:hAnsi="Calibri" w:cs="B Nazanin"/>
          <w:sz w:val="20"/>
          <w:szCs w:val="20"/>
          <w:lang w:bidi="fa-IR"/>
        </w:rPr>
      </w:pPr>
      <w:r w:rsidRPr="00560D56">
        <w:rPr>
          <w:rFonts w:ascii="Calibri" w:eastAsia="Times New Roman" w:hAnsi="Calibri" w:cs="B Nazanin"/>
          <w:sz w:val="20"/>
          <w:szCs w:val="20"/>
          <w:lang w:bidi="fa-IR"/>
        </w:rPr>
        <w:t xml:space="preserve">M. </w:t>
      </w:r>
      <w:proofErr w:type="spellStart"/>
      <w:r w:rsidRPr="00560D56">
        <w:rPr>
          <w:rFonts w:ascii="Calibri" w:eastAsia="Times New Roman" w:hAnsi="Calibri" w:cs="B Nazanin"/>
          <w:sz w:val="20"/>
          <w:szCs w:val="20"/>
          <w:lang w:bidi="fa-IR"/>
        </w:rPr>
        <w:t>Torshaby</w:t>
      </w:r>
      <w:proofErr w:type="spellEnd"/>
    </w:p>
    <w:p w:rsidR="00560D56" w:rsidRPr="00560D56" w:rsidRDefault="00560D56" w:rsidP="00560D56">
      <w:pPr>
        <w:spacing w:after="200" w:line="276" w:lineRule="auto"/>
        <w:jc w:val="both"/>
        <w:rPr>
          <w:rFonts w:ascii="Calibri" w:eastAsia="Times New Roman" w:hAnsi="Calibri" w:cs="B Nazanin"/>
          <w:sz w:val="20"/>
          <w:szCs w:val="20"/>
          <w:lang w:bidi="fa-IR"/>
        </w:rPr>
      </w:pPr>
      <w:r w:rsidRPr="00560D56">
        <w:rPr>
          <w:rFonts w:ascii="Calibri" w:eastAsia="Times New Roman" w:hAnsi="Calibri" w:cs="B Nazanin"/>
          <w:sz w:val="20"/>
          <w:szCs w:val="20"/>
          <w:lang w:bidi="fa-IR"/>
        </w:rPr>
        <w:t xml:space="preserve">A. </w:t>
      </w:r>
      <w:proofErr w:type="spellStart"/>
      <w:r w:rsidRPr="00560D56">
        <w:rPr>
          <w:rFonts w:ascii="Calibri" w:eastAsia="Times New Roman" w:hAnsi="Calibri" w:cs="B Nazanin"/>
          <w:sz w:val="20"/>
          <w:szCs w:val="20"/>
          <w:lang w:bidi="fa-IR"/>
        </w:rPr>
        <w:t>Esmailnejad</w:t>
      </w:r>
      <w:proofErr w:type="spellEnd"/>
    </w:p>
    <w:p w:rsidR="00560D56" w:rsidRPr="00560D56" w:rsidRDefault="00560D56" w:rsidP="00560D56">
      <w:pPr>
        <w:spacing w:after="200" w:line="276" w:lineRule="auto"/>
        <w:jc w:val="both"/>
        <w:rPr>
          <w:rFonts w:ascii="Times New Roman" w:eastAsia="Times New Roman" w:hAnsi="Times New Roman"/>
          <w:b/>
          <w:bCs/>
          <w:sz w:val="30"/>
          <w:szCs w:val="30"/>
          <w:u w:val="single"/>
          <w:lang w:bidi="fa-IR"/>
        </w:rPr>
      </w:pPr>
      <w:r w:rsidRPr="00560D56">
        <w:rPr>
          <w:rFonts w:ascii="Times New Roman" w:eastAsia="Times New Roman" w:hAnsi="Times New Roman"/>
          <w:b/>
          <w:bCs/>
          <w:sz w:val="30"/>
          <w:szCs w:val="30"/>
          <w:u w:val="single"/>
          <w:lang w:bidi="fa-IR"/>
        </w:rPr>
        <w:t>Abstract:</w:t>
      </w:r>
    </w:p>
    <w:p w:rsidR="00560D56" w:rsidRPr="00560D56" w:rsidRDefault="00560D56" w:rsidP="00560D56">
      <w:pPr>
        <w:shd w:val="clear" w:color="auto" w:fill="FFFFFF"/>
        <w:spacing w:before="90" w:after="90" w:line="270" w:lineRule="atLeast"/>
        <w:jc w:val="both"/>
        <w:outlineLvl w:val="0"/>
        <w:rPr>
          <w:rFonts w:ascii="Times New Roman" w:eastAsia="Calibri" w:hAnsi="Times New Roman"/>
          <w:sz w:val="24"/>
          <w:szCs w:val="24"/>
          <w:lang w:bidi="fa-IR"/>
        </w:rPr>
      </w:pPr>
      <w:r w:rsidRPr="00560D56">
        <w:rPr>
          <w:rFonts w:ascii="Times New Roman" w:eastAsia="Calibri" w:hAnsi="Times New Roman"/>
          <w:b/>
          <w:bCs/>
          <w:sz w:val="24"/>
          <w:szCs w:val="24"/>
          <w:lang w:bidi="fa-IR"/>
        </w:rPr>
        <w:t xml:space="preserve">Background and aim: </w:t>
      </w:r>
      <w:r w:rsidRPr="00560D56">
        <w:rPr>
          <w:rFonts w:ascii="Times New Roman" w:eastAsia="Calibri" w:hAnsi="Times New Roman"/>
          <w:sz w:val="24"/>
          <w:szCs w:val="24"/>
          <w:lang w:bidi="fa-IR"/>
        </w:rPr>
        <w:t xml:space="preserve">Predictable regeneration of alveolar bone defects has always been an important therapeutic challenge in implant dentistry. Allografts including FDBA and DFDBA are some substitutes being widely used and reported as having </w:t>
      </w:r>
      <w:proofErr w:type="spellStart"/>
      <w:r w:rsidRPr="00560D56">
        <w:rPr>
          <w:rFonts w:ascii="Times New Roman" w:eastAsia="Calibri" w:hAnsi="Times New Roman"/>
          <w:sz w:val="24"/>
          <w:szCs w:val="24"/>
          <w:lang w:bidi="fa-IR"/>
        </w:rPr>
        <w:t>osteoinductive</w:t>
      </w:r>
      <w:proofErr w:type="spellEnd"/>
      <w:r w:rsidRPr="00560D56">
        <w:rPr>
          <w:rFonts w:ascii="Times New Roman" w:eastAsia="Calibri" w:hAnsi="Times New Roman"/>
          <w:sz w:val="24"/>
          <w:szCs w:val="24"/>
          <w:lang w:bidi="fa-IR"/>
        </w:rPr>
        <w:t xml:space="preserve"> activities with some degrees of controversy. The aim of this study is to determine the effect of growth factors on </w:t>
      </w:r>
      <w:proofErr w:type="spellStart"/>
      <w:r w:rsidRPr="00560D56">
        <w:rPr>
          <w:rFonts w:ascii="Times New Roman" w:eastAsia="Calibri" w:hAnsi="Times New Roman"/>
          <w:sz w:val="24"/>
          <w:szCs w:val="24"/>
          <w:lang w:bidi="fa-IR"/>
        </w:rPr>
        <w:t>osteoinductive</w:t>
      </w:r>
      <w:proofErr w:type="spellEnd"/>
      <w:r w:rsidRPr="00560D56">
        <w:rPr>
          <w:rFonts w:ascii="Times New Roman" w:eastAsia="Calibri" w:hAnsi="Times New Roman"/>
          <w:sz w:val="24"/>
          <w:szCs w:val="24"/>
          <w:lang w:bidi="fa-IR"/>
        </w:rPr>
        <w:t xml:space="preserve"> activities of different bone materials</w:t>
      </w:r>
      <w:r w:rsidRPr="00560D56">
        <w:rPr>
          <w:rFonts w:ascii="Times New Roman" w:eastAsia="Calibri" w:hAnsi="Times New Roman"/>
          <w:sz w:val="24"/>
          <w:szCs w:val="24"/>
          <w:rtl/>
          <w:lang w:bidi="fa-IR"/>
        </w:rPr>
        <w:t>.</w:t>
      </w:r>
    </w:p>
    <w:p w:rsidR="00560D56" w:rsidRPr="00560D56" w:rsidRDefault="00560D56" w:rsidP="00560D56">
      <w:pPr>
        <w:shd w:val="clear" w:color="auto" w:fill="FFFFFF"/>
        <w:spacing w:before="90" w:beforeAutospacing="1" w:after="90" w:afterAutospacing="1" w:line="270" w:lineRule="atLeast"/>
        <w:jc w:val="both"/>
        <w:outlineLvl w:val="0"/>
        <w:rPr>
          <w:rFonts w:ascii="Times New Roman" w:eastAsia="Calibri" w:hAnsi="Times New Roman"/>
          <w:sz w:val="24"/>
          <w:szCs w:val="24"/>
          <w:lang w:bidi="fa-IR"/>
        </w:rPr>
      </w:pPr>
      <w:r w:rsidRPr="00560D56">
        <w:rPr>
          <w:rFonts w:ascii="Times New Roman" w:eastAsia="Calibri" w:hAnsi="Times New Roman"/>
          <w:b/>
          <w:bCs/>
          <w:sz w:val="24"/>
          <w:szCs w:val="24"/>
          <w:lang w:bidi="fa-IR"/>
        </w:rPr>
        <w:t xml:space="preserve">Materials and Methods: </w:t>
      </w:r>
      <w:r w:rsidRPr="00560D56">
        <w:rPr>
          <w:rFonts w:ascii="Times New Roman" w:eastAsia="Calibri" w:hAnsi="Times New Roman"/>
          <w:sz w:val="24"/>
          <w:szCs w:val="24"/>
          <w:lang w:bidi="fa-IR"/>
        </w:rPr>
        <w:t xml:space="preserve">MG-63 cells were exposed to 60 mg amounts of four different commercially available freeze-dried bone allografts with or without 5 ng/mL of two growth factors (singular or in combination). After 24 and 72 hours of incubation, the effect of water-soluble allograft released materials and soluble growth factors on cell viability and proliferation was assessed using methyl </w:t>
      </w:r>
      <w:proofErr w:type="spellStart"/>
      <w:r w:rsidRPr="00560D56">
        <w:rPr>
          <w:rFonts w:ascii="Times New Roman" w:eastAsia="Calibri" w:hAnsi="Times New Roman"/>
          <w:sz w:val="24"/>
          <w:szCs w:val="24"/>
          <w:lang w:bidi="fa-IR"/>
        </w:rPr>
        <w:t>thiazol</w:t>
      </w:r>
      <w:proofErr w:type="spellEnd"/>
      <w:r w:rsidRPr="00560D56">
        <w:rPr>
          <w:rFonts w:ascii="Times New Roman" w:eastAsia="Calibri" w:hAnsi="Times New Roman"/>
          <w:sz w:val="24"/>
          <w:szCs w:val="24"/>
          <w:lang w:bidi="fa-IR"/>
        </w:rPr>
        <w:t xml:space="preserve"> tetrazolium (MTT) assay. Cell differentiation and mineralization was respectively assessed by real-time quantitative reverse transcription PCR (</w:t>
      </w:r>
      <w:proofErr w:type="spellStart"/>
      <w:r w:rsidRPr="00560D56">
        <w:rPr>
          <w:rFonts w:ascii="Times New Roman" w:eastAsia="Calibri" w:hAnsi="Times New Roman"/>
          <w:sz w:val="24"/>
          <w:szCs w:val="24"/>
          <w:lang w:bidi="fa-IR"/>
        </w:rPr>
        <w:t>qRT</w:t>
      </w:r>
      <w:proofErr w:type="spellEnd"/>
      <w:r w:rsidRPr="00560D56">
        <w:rPr>
          <w:rFonts w:ascii="Times New Roman" w:eastAsia="Calibri" w:hAnsi="Times New Roman"/>
          <w:sz w:val="24"/>
          <w:szCs w:val="24"/>
          <w:lang w:bidi="fa-IR"/>
        </w:rPr>
        <w:t xml:space="preserve">-PCR) and alizarin red staining after 72 hours of exposure.  </w:t>
      </w:r>
    </w:p>
    <w:p w:rsidR="00560D56" w:rsidRPr="00560D56" w:rsidRDefault="00560D56" w:rsidP="00560D56">
      <w:pPr>
        <w:shd w:val="clear" w:color="auto" w:fill="FFFFFF"/>
        <w:spacing w:before="90" w:after="90" w:line="270" w:lineRule="atLeast"/>
        <w:jc w:val="both"/>
        <w:outlineLvl w:val="0"/>
        <w:rPr>
          <w:rFonts w:ascii="Times New Roman" w:eastAsia="Calibri" w:hAnsi="Times New Roman"/>
          <w:sz w:val="24"/>
          <w:szCs w:val="24"/>
          <w:lang w:bidi="fa-IR"/>
        </w:rPr>
      </w:pPr>
      <w:r w:rsidRPr="00560D56">
        <w:rPr>
          <w:rFonts w:ascii="Times New Roman" w:eastAsia="Calibri" w:hAnsi="Times New Roman"/>
          <w:b/>
          <w:bCs/>
          <w:sz w:val="24"/>
          <w:szCs w:val="24"/>
          <w:lang w:bidi="fa-IR"/>
        </w:rPr>
        <w:t xml:space="preserve">Results: </w:t>
      </w:r>
      <w:r w:rsidRPr="00560D56">
        <w:rPr>
          <w:rFonts w:ascii="Times New Roman" w:eastAsia="Calibri" w:hAnsi="Times New Roman"/>
          <w:sz w:val="24"/>
          <w:szCs w:val="24"/>
          <w:lang w:bidi="fa-IR"/>
        </w:rPr>
        <w:t xml:space="preserve">The effect of different GFs on cell/allograft containing plates was affected by the allograft type. Early proliferative and late </w:t>
      </w:r>
      <w:proofErr w:type="spellStart"/>
      <w:r w:rsidRPr="00560D56">
        <w:rPr>
          <w:rFonts w:ascii="Times New Roman" w:eastAsia="Calibri" w:hAnsi="Times New Roman"/>
          <w:sz w:val="24"/>
          <w:szCs w:val="24"/>
          <w:lang w:bidi="fa-IR"/>
        </w:rPr>
        <w:t>osseoinductive</w:t>
      </w:r>
      <w:proofErr w:type="spellEnd"/>
      <w:r w:rsidRPr="00560D56">
        <w:rPr>
          <w:rFonts w:ascii="Times New Roman" w:eastAsia="Calibri" w:hAnsi="Times New Roman"/>
          <w:sz w:val="24"/>
          <w:szCs w:val="24"/>
          <w:lang w:bidi="fa-IR"/>
        </w:rPr>
        <w:t xml:space="preserve"> effects of GFs were more consistent in TGF-β rather than PDGF. PDGF only showed limited </w:t>
      </w:r>
      <w:proofErr w:type="spellStart"/>
      <w:r w:rsidRPr="00560D56">
        <w:rPr>
          <w:rFonts w:ascii="Times New Roman" w:eastAsia="Calibri" w:hAnsi="Times New Roman"/>
          <w:sz w:val="24"/>
          <w:szCs w:val="24"/>
          <w:lang w:bidi="fa-IR"/>
        </w:rPr>
        <w:t>osseoinductivity</w:t>
      </w:r>
      <w:proofErr w:type="spellEnd"/>
      <w:r w:rsidRPr="00560D56">
        <w:rPr>
          <w:rFonts w:ascii="Times New Roman" w:eastAsia="Calibri" w:hAnsi="Times New Roman"/>
          <w:sz w:val="24"/>
          <w:szCs w:val="24"/>
          <w:lang w:bidi="fa-IR"/>
        </w:rPr>
        <w:t xml:space="preserve"> in terms of accelerating BSP and OC genes. </w:t>
      </w:r>
    </w:p>
    <w:p w:rsidR="00560D56" w:rsidRPr="00560D56" w:rsidRDefault="00560D56" w:rsidP="00560D56">
      <w:pPr>
        <w:shd w:val="clear" w:color="auto" w:fill="FFFFFF"/>
        <w:spacing w:before="90" w:after="90" w:line="270" w:lineRule="atLeast"/>
        <w:jc w:val="both"/>
        <w:outlineLvl w:val="0"/>
        <w:rPr>
          <w:rFonts w:ascii="Times New Roman" w:eastAsia="Calibri" w:hAnsi="Times New Roman"/>
          <w:sz w:val="24"/>
          <w:szCs w:val="24"/>
          <w:lang w:bidi="fa-IR"/>
        </w:rPr>
      </w:pPr>
      <w:r w:rsidRPr="00560D56">
        <w:rPr>
          <w:rFonts w:ascii="Times New Roman" w:eastAsia="Calibri" w:hAnsi="Times New Roman"/>
          <w:b/>
          <w:bCs/>
          <w:sz w:val="24"/>
          <w:szCs w:val="24"/>
          <w:lang w:bidi="fa-IR"/>
        </w:rPr>
        <w:t xml:space="preserve">Conclusion: </w:t>
      </w:r>
      <w:r w:rsidRPr="00560D56">
        <w:rPr>
          <w:rFonts w:ascii="Times New Roman" w:eastAsia="Calibri" w:hAnsi="Times New Roman"/>
          <w:sz w:val="24"/>
          <w:szCs w:val="24"/>
          <w:lang w:bidi="fa-IR"/>
        </w:rPr>
        <w:t xml:space="preserve">Based on the results of this study, TGF-β can have additional </w:t>
      </w:r>
      <w:proofErr w:type="spellStart"/>
      <w:r w:rsidRPr="00560D56">
        <w:rPr>
          <w:rFonts w:ascii="Times New Roman" w:eastAsia="Calibri" w:hAnsi="Times New Roman"/>
          <w:sz w:val="24"/>
          <w:szCs w:val="24"/>
          <w:lang w:bidi="fa-IR"/>
        </w:rPr>
        <w:t>osseoinductive</w:t>
      </w:r>
      <w:proofErr w:type="spellEnd"/>
      <w:r w:rsidRPr="00560D56">
        <w:rPr>
          <w:rFonts w:ascii="Times New Roman" w:eastAsia="Calibri" w:hAnsi="Times New Roman"/>
          <w:sz w:val="24"/>
          <w:szCs w:val="24"/>
          <w:lang w:bidi="fa-IR"/>
        </w:rPr>
        <w:t xml:space="preserve"> effect on allografts/cells combination and its application may be beneficial in </w:t>
      </w:r>
      <w:r w:rsidRPr="00560D56">
        <w:rPr>
          <w:rFonts w:ascii="Times New Roman" w:eastAsia="Calibri" w:hAnsi="Times New Roman"/>
          <w:i/>
          <w:iCs/>
          <w:sz w:val="24"/>
          <w:szCs w:val="24"/>
          <w:lang w:bidi="fa-IR"/>
        </w:rPr>
        <w:t>in vitro</w:t>
      </w:r>
      <w:r w:rsidRPr="00560D56">
        <w:rPr>
          <w:rFonts w:ascii="Times New Roman" w:eastAsia="Calibri" w:hAnsi="Times New Roman"/>
          <w:sz w:val="24"/>
          <w:szCs w:val="24"/>
          <w:lang w:bidi="fa-IR"/>
        </w:rPr>
        <w:t xml:space="preserve"> and clinical regenerative studies.  </w:t>
      </w:r>
    </w:p>
    <w:p w:rsidR="00560D56" w:rsidRPr="00560D56" w:rsidRDefault="00560D56" w:rsidP="00560D56">
      <w:pPr>
        <w:shd w:val="clear" w:color="auto" w:fill="FFFFFF"/>
        <w:spacing w:before="90" w:after="90" w:line="270" w:lineRule="atLeast"/>
        <w:jc w:val="both"/>
        <w:outlineLvl w:val="0"/>
        <w:rPr>
          <w:rFonts w:ascii="Calibri" w:eastAsia="Calibri" w:hAnsi="Calibri" w:cs="B Nazanin"/>
          <w:b/>
          <w:bCs/>
          <w:sz w:val="24"/>
          <w:szCs w:val="24"/>
          <w:lang w:bidi="fa-IR"/>
        </w:rPr>
      </w:pPr>
      <w:r w:rsidRPr="00560D56">
        <w:rPr>
          <w:rFonts w:ascii="Calibri" w:eastAsia="Calibri" w:hAnsi="Calibri" w:cs="B Nazanin"/>
          <w:b/>
          <w:bCs/>
          <w:sz w:val="24"/>
          <w:szCs w:val="24"/>
          <w:lang w:bidi="fa-IR"/>
        </w:rPr>
        <w:t>Key words:</w:t>
      </w:r>
      <w:r w:rsidRPr="00560D56">
        <w:rPr>
          <w:rFonts w:ascii="Times New Roman" w:eastAsia="Times New Roman" w:hAnsi="Times New Roman"/>
          <w:b/>
          <w:bCs/>
          <w:kern w:val="36"/>
          <w:sz w:val="48"/>
          <w:szCs w:val="48"/>
        </w:rPr>
        <w:t xml:space="preserve"> </w:t>
      </w:r>
      <w:r w:rsidRPr="00560D56">
        <w:rPr>
          <w:rFonts w:ascii="Calibri" w:eastAsia="Calibri" w:hAnsi="Calibri" w:cs="B Nazanin"/>
          <w:b/>
          <w:bCs/>
          <w:sz w:val="24"/>
          <w:szCs w:val="24"/>
          <w:lang w:bidi="fa-IR"/>
        </w:rPr>
        <w:t>Bone allograft, Growth factor, Osteoblast differentiation, Mineralization</w:t>
      </w:r>
    </w:p>
    <w:p w:rsidR="003F7347" w:rsidRDefault="003F7347">
      <w:bookmarkStart w:id="0" w:name="_GoBack"/>
      <w:bookmarkEnd w:id="0"/>
    </w:p>
    <w:sectPr w:rsidR="003F73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0AFF" w:usb1="00007843" w:usb2="00000001" w:usb3="00000000" w:csb0="000001B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D56"/>
    <w:rsid w:val="003F7347"/>
    <w:rsid w:val="00560D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E5BD5E-2C81-48FD-8551-04641FD06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diamond</dc:creator>
  <cp:keywords/>
  <dc:description/>
  <cp:lastModifiedBy>diamond</cp:lastModifiedBy>
  <cp:revision>1</cp:revision>
  <dcterms:created xsi:type="dcterms:W3CDTF">2018-02-22T08:17:00Z</dcterms:created>
  <dcterms:modified xsi:type="dcterms:W3CDTF">2018-02-22T08:18:00Z</dcterms:modified>
</cp:coreProperties>
</file>