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AB8" w:rsidRDefault="00952AB8" w:rsidP="00952AB8">
      <w:pPr>
        <w:spacing w:before="100" w:beforeAutospacing="1" w:after="100" w:afterAutospacing="1" w:line="240" w:lineRule="auto"/>
        <w:ind w:left="-144" w:right="-144" w:firstLine="720"/>
        <w:jc w:val="both"/>
        <w:rPr>
          <w:rFonts w:asciiTheme="majorBidi" w:hAnsiTheme="majorBidi" w:cstheme="majorBidi"/>
          <w:b/>
          <w:bCs/>
          <w:color w:val="000000" w:themeColor="text1"/>
          <w:sz w:val="32"/>
          <w:szCs w:val="32"/>
        </w:rPr>
      </w:pPr>
      <w:bookmarkStart w:id="0" w:name="_GoBack"/>
      <w:bookmarkEnd w:id="0"/>
      <w:r w:rsidRPr="00952AB8">
        <w:rPr>
          <w:rFonts w:asciiTheme="majorBidi" w:hAnsiTheme="majorBidi" w:cstheme="majorBidi"/>
          <w:b/>
          <w:bCs/>
          <w:color w:val="000000" w:themeColor="text1"/>
          <w:sz w:val="32"/>
          <w:szCs w:val="32"/>
        </w:rPr>
        <w:t>Dysplastic changes rate in cases of Oral Lichen Planus: A retrospective study of 112 cases in an Iranian population</w:t>
      </w:r>
    </w:p>
    <w:p w:rsidR="00952AB8" w:rsidRPr="00952AB8" w:rsidRDefault="00952AB8" w:rsidP="00952AB8">
      <w:pPr>
        <w:spacing w:before="100" w:beforeAutospacing="1" w:after="100" w:afterAutospacing="1" w:line="240" w:lineRule="auto"/>
        <w:ind w:left="-144" w:right="-144" w:firstLine="720"/>
        <w:jc w:val="both"/>
        <w:rPr>
          <w:rFonts w:asciiTheme="majorBidi" w:hAnsiTheme="majorBidi" w:cstheme="majorBidi"/>
          <w:b/>
          <w:bCs/>
          <w:color w:val="000000" w:themeColor="text1"/>
          <w:sz w:val="32"/>
          <w:szCs w:val="32"/>
        </w:rPr>
      </w:pPr>
    </w:p>
    <w:p w:rsidR="00952AB8" w:rsidRDefault="00952AB8" w:rsidP="00952AB8">
      <w:pPr>
        <w:spacing w:before="100" w:beforeAutospacing="1" w:after="100" w:afterAutospacing="1" w:line="240" w:lineRule="auto"/>
        <w:ind w:left="-144" w:right="-144" w:firstLine="720"/>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Soussan Irani</w:t>
      </w:r>
    </w:p>
    <w:p w:rsidR="00952AB8" w:rsidRDefault="00952AB8" w:rsidP="00952AB8">
      <w:pPr>
        <w:spacing w:before="100" w:beforeAutospacing="1" w:after="100" w:afterAutospacing="1" w:line="240" w:lineRule="auto"/>
        <w:ind w:left="-144" w:right="-144" w:firstLine="720"/>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D.D.S., OMFP, PhD. Associate Professor, Dental Faculty,Hamadan University of Medical Sciences</w:t>
      </w:r>
    </w:p>
    <w:p w:rsidR="00952AB8" w:rsidRPr="006B6882" w:rsidRDefault="00952AB8" w:rsidP="00952AB8">
      <w:pPr>
        <w:spacing w:before="100" w:beforeAutospacing="1" w:after="100" w:afterAutospacing="1" w:line="240" w:lineRule="auto"/>
        <w:ind w:left="-144" w:right="-144" w:firstLine="720"/>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Lecturer at Griffith University, Gold Coast,Australia</w:t>
      </w:r>
    </w:p>
    <w:p w:rsidR="00952AB8" w:rsidRPr="006B6882" w:rsidRDefault="00952AB8" w:rsidP="00952AB8">
      <w:pPr>
        <w:spacing w:before="100" w:beforeAutospacing="1" w:after="100" w:afterAutospacing="1" w:line="240" w:lineRule="auto"/>
        <w:ind w:left="-144" w:right="-144" w:firstLine="720"/>
        <w:jc w:val="both"/>
        <w:rPr>
          <w:rFonts w:asciiTheme="majorBidi" w:hAnsiTheme="majorBidi" w:cstheme="majorBidi"/>
          <w:b/>
          <w:bCs/>
          <w:color w:val="000000" w:themeColor="text1"/>
          <w:sz w:val="24"/>
          <w:szCs w:val="24"/>
        </w:rPr>
      </w:pPr>
    </w:p>
    <w:p w:rsidR="00952AB8" w:rsidRPr="006B6882" w:rsidRDefault="00952AB8" w:rsidP="00952AB8">
      <w:pPr>
        <w:spacing w:before="100" w:beforeAutospacing="1" w:after="100" w:afterAutospacing="1" w:line="480" w:lineRule="auto"/>
        <w:ind w:left="-144" w:right="-144" w:firstLine="720"/>
        <w:jc w:val="both"/>
        <w:rPr>
          <w:rFonts w:asciiTheme="majorBidi" w:hAnsiTheme="majorBidi" w:cstheme="majorBidi"/>
          <w:b/>
          <w:bCs/>
          <w:color w:val="000000" w:themeColor="text1"/>
          <w:sz w:val="24"/>
          <w:szCs w:val="24"/>
        </w:rPr>
      </w:pPr>
      <w:r w:rsidRPr="006B6882">
        <w:rPr>
          <w:rFonts w:asciiTheme="majorBidi" w:hAnsiTheme="majorBidi" w:cstheme="majorBidi"/>
          <w:b/>
          <w:bCs/>
          <w:color w:val="000000" w:themeColor="text1"/>
          <w:sz w:val="24"/>
          <w:szCs w:val="24"/>
        </w:rPr>
        <w:t>Abstract</w:t>
      </w:r>
    </w:p>
    <w:p w:rsidR="00952AB8" w:rsidRPr="006B6882" w:rsidRDefault="00952AB8" w:rsidP="00952AB8">
      <w:pPr>
        <w:spacing w:before="100" w:beforeAutospacing="1" w:after="100" w:afterAutospacing="1" w:line="480" w:lineRule="auto"/>
        <w:ind w:left="-144" w:right="-144" w:firstLine="720"/>
        <w:jc w:val="both"/>
        <w:rPr>
          <w:rFonts w:asciiTheme="majorBidi" w:hAnsiTheme="majorBidi" w:cstheme="majorBidi"/>
          <w:color w:val="000000" w:themeColor="text1"/>
          <w:sz w:val="24"/>
          <w:szCs w:val="24"/>
        </w:rPr>
      </w:pPr>
      <w:r w:rsidRPr="006B6882">
        <w:rPr>
          <w:rFonts w:asciiTheme="majorBidi" w:hAnsiTheme="majorBidi" w:cstheme="majorBidi"/>
          <w:b/>
          <w:bCs/>
          <w:color w:val="000000" w:themeColor="text1"/>
          <w:sz w:val="24"/>
          <w:szCs w:val="24"/>
        </w:rPr>
        <w:t>BACKGROUNDS:</w:t>
      </w:r>
      <w:r w:rsidRPr="006B6882">
        <w:rPr>
          <w:rFonts w:asciiTheme="majorBidi" w:hAnsiTheme="majorBidi" w:cstheme="majorBidi"/>
          <w:color w:val="000000" w:themeColor="text1"/>
          <w:sz w:val="24"/>
          <w:szCs w:val="24"/>
        </w:rPr>
        <w:t xml:space="preserve">Lichen planus is a chronic systemic disease, and oral mucosa is commonly involved. Oral lichen planus (OLP) most commonly affects the middle-aged females. The prevalence of the disease ranges between 0.5-2.6 % in the general population, and the range of malignant transformation varies between 0-10%. </w:t>
      </w:r>
    </w:p>
    <w:p w:rsidR="00952AB8" w:rsidRPr="006B6882" w:rsidRDefault="00952AB8" w:rsidP="00952AB8">
      <w:pPr>
        <w:spacing w:before="100" w:beforeAutospacing="1" w:after="100" w:afterAutospacing="1" w:line="480" w:lineRule="auto"/>
        <w:ind w:left="-144" w:right="-144" w:firstLine="720"/>
        <w:jc w:val="both"/>
        <w:rPr>
          <w:rFonts w:asciiTheme="majorBidi" w:hAnsiTheme="majorBidi" w:cstheme="majorBidi"/>
          <w:b/>
          <w:bCs/>
          <w:color w:val="000000" w:themeColor="text1"/>
          <w:sz w:val="24"/>
          <w:szCs w:val="24"/>
        </w:rPr>
      </w:pPr>
      <w:r w:rsidRPr="006B6882">
        <w:rPr>
          <w:rFonts w:asciiTheme="majorBidi" w:hAnsiTheme="majorBidi" w:cstheme="majorBidi"/>
          <w:b/>
          <w:bCs/>
          <w:color w:val="000000" w:themeColor="text1"/>
          <w:sz w:val="24"/>
          <w:szCs w:val="24"/>
        </w:rPr>
        <w:t>OBJECTIVES:</w:t>
      </w:r>
      <w:r w:rsidRPr="006B6882">
        <w:rPr>
          <w:rFonts w:asciiTheme="majorBidi" w:hAnsiTheme="majorBidi" w:cstheme="majorBidi"/>
          <w:color w:val="000000" w:themeColor="text1"/>
          <w:sz w:val="24"/>
          <w:szCs w:val="24"/>
        </w:rPr>
        <w:t>To assess the rate of malignant transformation of OLP samples.</w:t>
      </w:r>
    </w:p>
    <w:p w:rsidR="00952AB8" w:rsidRPr="006B6882" w:rsidRDefault="00952AB8" w:rsidP="00952AB8">
      <w:pPr>
        <w:spacing w:before="100" w:beforeAutospacing="1" w:after="100" w:afterAutospacing="1" w:line="480" w:lineRule="auto"/>
        <w:ind w:left="-144" w:right="-144" w:firstLine="720"/>
        <w:jc w:val="both"/>
        <w:rPr>
          <w:rFonts w:asciiTheme="majorBidi" w:hAnsiTheme="majorBidi" w:cstheme="majorBidi"/>
          <w:color w:val="000000" w:themeColor="text1"/>
          <w:sz w:val="24"/>
          <w:szCs w:val="24"/>
        </w:rPr>
      </w:pPr>
      <w:r w:rsidRPr="006B6882">
        <w:rPr>
          <w:rFonts w:asciiTheme="majorBidi" w:hAnsiTheme="majorBidi" w:cstheme="majorBidi"/>
          <w:b/>
          <w:bCs/>
          <w:color w:val="000000" w:themeColor="text1"/>
          <w:sz w:val="24"/>
          <w:szCs w:val="24"/>
        </w:rPr>
        <w:t>MATERIALS AND METHODS:</w:t>
      </w:r>
      <w:r w:rsidRPr="006B6882">
        <w:rPr>
          <w:rFonts w:asciiTheme="majorBidi" w:hAnsiTheme="majorBidi" w:cstheme="majorBidi"/>
          <w:color w:val="000000" w:themeColor="text1"/>
          <w:sz w:val="24"/>
          <w:szCs w:val="24"/>
        </w:rPr>
        <w:t>This retrospective study was carried out on 112 medical records of patients with histological diagnosis of OLP who attended the department of pathology at Farshchian (formerly known as Sina) educational hospi</w:t>
      </w:r>
      <w:r w:rsidRPr="006B6882">
        <w:rPr>
          <w:rFonts w:asciiTheme="majorBidi" w:hAnsiTheme="majorBidi" w:cstheme="majorBidi"/>
          <w:color w:val="000000" w:themeColor="text1"/>
          <w:sz w:val="24"/>
          <w:szCs w:val="24"/>
        </w:rPr>
        <w:softHyphen/>
        <w:t>tal in Hamadan, Iran from 2005 to 2012.Hematoxylin&amp; Eosin stained slides were reviewed by two pathologists using strict clinical and histopathological diagnostic WHO criteria.Dysplastic changes were diagnosed and graded according to the latest WHO classification.</w:t>
      </w:r>
    </w:p>
    <w:p w:rsidR="00952AB8" w:rsidRPr="006B6882" w:rsidRDefault="00952AB8" w:rsidP="00952AB8">
      <w:pPr>
        <w:spacing w:before="100" w:beforeAutospacing="1" w:after="100" w:afterAutospacing="1" w:line="480" w:lineRule="auto"/>
        <w:ind w:left="-144" w:right="-144" w:firstLine="720"/>
        <w:jc w:val="both"/>
        <w:rPr>
          <w:rFonts w:asciiTheme="majorBidi" w:hAnsiTheme="majorBidi" w:cstheme="majorBidi"/>
          <w:color w:val="000000" w:themeColor="text1"/>
          <w:sz w:val="24"/>
          <w:szCs w:val="24"/>
        </w:rPr>
      </w:pPr>
      <w:r w:rsidRPr="006B6882">
        <w:rPr>
          <w:rFonts w:asciiTheme="majorBidi" w:hAnsiTheme="majorBidi" w:cstheme="majorBidi"/>
          <w:b/>
          <w:bCs/>
          <w:color w:val="000000" w:themeColor="text1"/>
          <w:sz w:val="24"/>
          <w:szCs w:val="24"/>
        </w:rPr>
        <w:t>RESULTS:</w:t>
      </w:r>
      <w:r w:rsidRPr="006B6882">
        <w:rPr>
          <w:rFonts w:asciiTheme="majorBidi" w:hAnsiTheme="majorBidi" w:cstheme="majorBidi"/>
          <w:color w:val="000000" w:themeColor="text1"/>
          <w:sz w:val="24"/>
          <w:szCs w:val="24"/>
        </w:rPr>
        <w:t xml:space="preserve"> Of 112 cases diagnosed as OLP, there were 39 males and 73 females, and the patients’ ages ranged from 15 to 86 years (mean age 44.5 years). The erosive form with 50 cases was the most common clinical type, and the papular type with 1 case was the least common clinical type. Regarding the site, the buccal mucosa was the most common site with 52 </w:t>
      </w:r>
      <w:r w:rsidRPr="006B6882">
        <w:rPr>
          <w:rFonts w:asciiTheme="majorBidi" w:hAnsiTheme="majorBidi" w:cstheme="majorBidi"/>
          <w:color w:val="000000" w:themeColor="text1"/>
          <w:sz w:val="24"/>
          <w:szCs w:val="24"/>
        </w:rPr>
        <w:lastRenderedPageBreak/>
        <w:t>cases. Totally, dysplastic changes were found in 12 samples, among them 5 cases showed mild dysplasia, and seven cases showed moderate dysplasia. One casedeveloped OSCC after 3 years.</w:t>
      </w:r>
    </w:p>
    <w:p w:rsidR="00952AB8" w:rsidRPr="006B6882" w:rsidRDefault="00952AB8" w:rsidP="00952AB8">
      <w:pPr>
        <w:spacing w:before="100" w:beforeAutospacing="1" w:after="100" w:afterAutospacing="1" w:line="480" w:lineRule="auto"/>
        <w:ind w:left="-144" w:right="-144" w:firstLine="720"/>
        <w:jc w:val="both"/>
        <w:rPr>
          <w:rFonts w:asciiTheme="majorBidi" w:eastAsia="Times New Roman" w:hAnsiTheme="majorBidi" w:cstheme="majorBidi"/>
          <w:color w:val="000000" w:themeColor="text1"/>
          <w:sz w:val="24"/>
          <w:szCs w:val="24"/>
        </w:rPr>
      </w:pPr>
      <w:r w:rsidRPr="006B6882">
        <w:rPr>
          <w:rFonts w:asciiTheme="majorBidi" w:hAnsiTheme="majorBidi" w:cstheme="majorBidi"/>
          <w:b/>
          <w:bCs/>
          <w:color w:val="000000" w:themeColor="text1"/>
          <w:sz w:val="24"/>
          <w:szCs w:val="24"/>
        </w:rPr>
        <w:t>CONCLUSION:</w:t>
      </w:r>
      <w:r w:rsidRPr="006B6882">
        <w:rPr>
          <w:rFonts w:asciiTheme="majorBidi" w:eastAsia="Times New Roman" w:hAnsiTheme="majorBidi" w:cstheme="majorBidi"/>
          <w:color w:val="000000" w:themeColor="text1"/>
          <w:sz w:val="24"/>
          <w:szCs w:val="24"/>
        </w:rPr>
        <w:t>OLP has considered as a pre-malignant condition by WHO and several authors. Although the malignancy rate is not so high, to reduce morbidity and mortality from cancer arising on OLP lesions, a regular follow-up examination is recommended.</w:t>
      </w:r>
    </w:p>
    <w:p w:rsidR="00952AB8" w:rsidRPr="006B6882" w:rsidRDefault="00952AB8" w:rsidP="00952AB8">
      <w:pPr>
        <w:spacing w:before="100" w:beforeAutospacing="1" w:after="100" w:afterAutospacing="1" w:line="480" w:lineRule="auto"/>
        <w:ind w:left="-144" w:right="-144" w:firstLine="720"/>
        <w:jc w:val="both"/>
        <w:rPr>
          <w:rFonts w:asciiTheme="majorBidi" w:hAnsiTheme="majorBidi" w:cstheme="majorBidi"/>
          <w:color w:val="000000" w:themeColor="text1"/>
          <w:sz w:val="24"/>
          <w:szCs w:val="24"/>
        </w:rPr>
      </w:pPr>
      <w:r w:rsidRPr="006B6882">
        <w:rPr>
          <w:rFonts w:asciiTheme="majorBidi" w:hAnsiTheme="majorBidi" w:cstheme="majorBidi"/>
          <w:b/>
          <w:bCs/>
          <w:color w:val="000000" w:themeColor="text1"/>
          <w:sz w:val="24"/>
          <w:szCs w:val="24"/>
        </w:rPr>
        <w:t>Key words: Oral Lichen Planus;Precancerous condition; Prevalence; Squamous Cell Carcinoma</w:t>
      </w:r>
    </w:p>
    <w:p w:rsidR="001D36DF" w:rsidRDefault="001D36DF"/>
    <w:sectPr w:rsidR="001D36DF" w:rsidSect="000E4FA4">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52AB8"/>
    <w:rsid w:val="000E4FA4"/>
    <w:rsid w:val="001D36DF"/>
    <w:rsid w:val="00801DF8"/>
    <w:rsid w:val="00952AB8"/>
    <w:rsid w:val="00AE532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AB8"/>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1746</Characters>
  <Application>Microsoft Office Word</Application>
  <DocSecurity>0</DocSecurity>
  <Lines>14</Lines>
  <Paragraphs>4</Paragraphs>
  <ScaleCrop>false</ScaleCrop>
  <Company>MRT www.Win2Farsi.com</Company>
  <LinksUpToDate>false</LinksUpToDate>
  <CharactersWithSpaces>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MRT</cp:lastModifiedBy>
  <cp:revision>2</cp:revision>
  <dcterms:created xsi:type="dcterms:W3CDTF">2016-08-15T05:57:00Z</dcterms:created>
  <dcterms:modified xsi:type="dcterms:W3CDTF">2016-08-15T05:57:00Z</dcterms:modified>
</cp:coreProperties>
</file>