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D88" w:rsidRPr="00C55D88" w:rsidRDefault="00C55D88" w:rsidP="00C55D88">
      <w:pPr>
        <w:autoSpaceDE w:val="0"/>
        <w:autoSpaceDN w:val="0"/>
        <w:adjustRightInd w:val="0"/>
        <w:spacing w:line="360" w:lineRule="auto"/>
        <w:jc w:val="center"/>
        <w:rPr>
          <w:rFonts w:ascii="Times New Roman" w:hAnsi="Times New Roman" w:cs="Times New Roman"/>
          <w:b/>
          <w:iCs/>
          <w:color w:val="000000"/>
          <w:sz w:val="28"/>
          <w:szCs w:val="28"/>
        </w:rPr>
      </w:pPr>
      <w:r w:rsidRPr="00C55D88">
        <w:rPr>
          <w:rFonts w:ascii="Times New Roman" w:hAnsi="Times New Roman" w:cs="Times New Roman"/>
          <w:b/>
          <w:sz w:val="28"/>
          <w:szCs w:val="28"/>
        </w:rPr>
        <w:t xml:space="preserve">Title: Antidiabetic Property of Various Extracts of </w:t>
      </w:r>
      <w:r w:rsidRPr="00C55D88">
        <w:rPr>
          <w:rFonts w:ascii="Times New Roman" w:hAnsi="Times New Roman" w:cs="Times New Roman"/>
          <w:b/>
          <w:i/>
          <w:iCs/>
          <w:color w:val="000000"/>
          <w:sz w:val="28"/>
          <w:szCs w:val="28"/>
        </w:rPr>
        <w:t xml:space="preserve">Ginkgo biloba </w:t>
      </w:r>
      <w:r w:rsidRPr="00C55D88">
        <w:rPr>
          <w:rFonts w:ascii="Times New Roman" w:hAnsi="Times New Roman" w:cs="Times New Roman"/>
          <w:b/>
          <w:iCs/>
          <w:color w:val="000000"/>
          <w:sz w:val="28"/>
          <w:szCs w:val="28"/>
        </w:rPr>
        <w:t>Plant</w:t>
      </w:r>
    </w:p>
    <w:p w:rsidR="00C55D88" w:rsidRDefault="00C55D88" w:rsidP="00C55D88">
      <w:pPr>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 Amin Mir</w:t>
      </w:r>
    </w:p>
    <w:p w:rsidR="00C55D88" w:rsidRPr="00E1210F" w:rsidRDefault="00C55D88" w:rsidP="00C55D88">
      <w:pPr>
        <w:spacing w:line="240" w:lineRule="auto"/>
        <w:rPr>
          <w:rFonts w:ascii="Times New Roman" w:hAnsi="Times New Roman"/>
          <w:sz w:val="20"/>
          <w:szCs w:val="20"/>
        </w:rPr>
      </w:pPr>
      <w:r w:rsidRPr="00E1210F">
        <w:rPr>
          <w:rFonts w:ascii="Times New Roman" w:hAnsi="Times New Roman"/>
          <w:sz w:val="20"/>
          <w:szCs w:val="20"/>
        </w:rPr>
        <w:t>Department of Chemistry</w:t>
      </w:r>
      <w:r>
        <w:rPr>
          <w:rFonts w:ascii="Times New Roman" w:hAnsi="Times New Roman"/>
          <w:sz w:val="20"/>
          <w:szCs w:val="20"/>
        </w:rPr>
        <w:t xml:space="preserve"> </w:t>
      </w:r>
    </w:p>
    <w:p w:rsidR="00C55D88" w:rsidRDefault="00C55D88" w:rsidP="00C55D88">
      <w:pPr>
        <w:autoSpaceDE w:val="0"/>
        <w:autoSpaceDN w:val="0"/>
        <w:adjustRightInd w:val="0"/>
        <w:spacing w:line="360" w:lineRule="auto"/>
        <w:rPr>
          <w:rFonts w:ascii="Times New Roman" w:hAnsi="Times New Roman"/>
          <w:sz w:val="20"/>
          <w:szCs w:val="20"/>
        </w:rPr>
      </w:pPr>
      <w:r w:rsidRPr="00E1210F">
        <w:rPr>
          <w:rFonts w:ascii="Times New Roman" w:hAnsi="Times New Roman"/>
          <w:sz w:val="20"/>
          <w:szCs w:val="20"/>
        </w:rPr>
        <w:t>Uttaranchal College of Science and Technology</w:t>
      </w:r>
      <w:r>
        <w:rPr>
          <w:rFonts w:ascii="Times New Roman" w:hAnsi="Times New Roman"/>
          <w:sz w:val="20"/>
          <w:szCs w:val="20"/>
        </w:rPr>
        <w:t xml:space="preserve">, </w:t>
      </w:r>
      <w:r w:rsidRPr="00E1210F">
        <w:rPr>
          <w:rFonts w:ascii="Times New Roman" w:hAnsi="Times New Roman"/>
          <w:sz w:val="20"/>
          <w:szCs w:val="20"/>
        </w:rPr>
        <w:t>Dehradun</w:t>
      </w:r>
      <w:r>
        <w:rPr>
          <w:rFonts w:ascii="Times New Roman" w:hAnsi="Times New Roman"/>
          <w:sz w:val="20"/>
          <w:szCs w:val="20"/>
        </w:rPr>
        <w:t>-01</w:t>
      </w:r>
    </w:p>
    <w:p w:rsidR="00C55D88" w:rsidRDefault="00C55D88" w:rsidP="00C55D88">
      <w:pPr>
        <w:autoSpaceDE w:val="0"/>
        <w:autoSpaceDN w:val="0"/>
        <w:adjustRightInd w:val="0"/>
        <w:spacing w:line="360" w:lineRule="auto"/>
        <w:rPr>
          <w:rFonts w:ascii="Times New Roman" w:hAnsi="Times New Roman"/>
          <w:b/>
          <w:sz w:val="24"/>
          <w:szCs w:val="24"/>
        </w:rPr>
      </w:pPr>
    </w:p>
    <w:p w:rsidR="00C55D88" w:rsidRDefault="00C55D88" w:rsidP="00C55D88">
      <w:pPr>
        <w:autoSpaceDE w:val="0"/>
        <w:autoSpaceDN w:val="0"/>
        <w:adjustRightInd w:val="0"/>
        <w:spacing w:line="360" w:lineRule="auto"/>
        <w:rPr>
          <w:rFonts w:ascii="Times New Roman" w:hAnsi="Times New Roman"/>
          <w:b/>
          <w:sz w:val="24"/>
          <w:szCs w:val="24"/>
        </w:rPr>
      </w:pPr>
      <w:r w:rsidRPr="00582465">
        <w:rPr>
          <w:rFonts w:ascii="Times New Roman" w:hAnsi="Times New Roman"/>
          <w:b/>
          <w:sz w:val="24"/>
          <w:szCs w:val="24"/>
        </w:rPr>
        <w:t>Abstract</w:t>
      </w:r>
    </w:p>
    <w:p w:rsidR="00370F80" w:rsidRDefault="00370F80" w:rsidP="00370F80">
      <w:pPr>
        <w:autoSpaceDE w:val="0"/>
        <w:autoSpaceDN w:val="0"/>
        <w:adjustRightInd w:val="0"/>
        <w:spacing w:line="360" w:lineRule="auto"/>
        <w:jc w:val="both"/>
        <w:rPr>
          <w:rFonts w:ascii="Times New Roman" w:hAnsi="Times New Roman" w:cs="Times New Roman"/>
          <w:iCs/>
          <w:color w:val="000000"/>
          <w:sz w:val="24"/>
          <w:szCs w:val="24"/>
        </w:rPr>
      </w:pPr>
      <w:r w:rsidRPr="004F101D">
        <w:rPr>
          <w:rFonts w:ascii="Times New Roman" w:hAnsi="Times New Roman"/>
          <w:sz w:val="24"/>
          <w:szCs w:val="24"/>
        </w:rPr>
        <w:t>The</w:t>
      </w:r>
      <w:r>
        <w:rPr>
          <w:rFonts w:ascii="Times New Roman" w:hAnsi="Times New Roman" w:cs="Times New Roman"/>
          <w:iCs/>
          <w:color w:val="000000"/>
          <w:sz w:val="24"/>
          <w:szCs w:val="24"/>
        </w:rPr>
        <w:t xml:space="preserve"> antidiabetic potential of </w:t>
      </w:r>
      <w:r w:rsidRPr="004F101D">
        <w:rPr>
          <w:rFonts w:ascii="Times New Roman" w:hAnsi="Times New Roman" w:cs="Times New Roman"/>
          <w:i/>
          <w:iCs/>
          <w:color w:val="000000"/>
          <w:sz w:val="24"/>
          <w:szCs w:val="24"/>
        </w:rPr>
        <w:t>Ginkgo biloba</w:t>
      </w:r>
      <w:r>
        <w:rPr>
          <w:rFonts w:ascii="Times New Roman" w:hAnsi="Times New Roman" w:cs="Times New Roman"/>
          <w:i/>
          <w:iCs/>
          <w:color w:val="000000"/>
          <w:sz w:val="24"/>
          <w:szCs w:val="24"/>
        </w:rPr>
        <w:t xml:space="preserve"> </w:t>
      </w:r>
      <w:r>
        <w:rPr>
          <w:rFonts w:ascii="Times New Roman" w:hAnsi="Times New Roman" w:cs="Times New Roman"/>
          <w:iCs/>
          <w:color w:val="000000"/>
          <w:sz w:val="24"/>
          <w:szCs w:val="24"/>
        </w:rPr>
        <w:t>have been analysed spectrophotometrically. The results so for obtained were found to be encouraging. Different parts namely stem, root and leaves have been analysed in various solvents based upon the polarity index, viz, petroleum ether, ethanol and water. The antidiabetic potential varies different in different solvents, also different parts of the plant behave differently as per their antidiabetic potential is taken into consideration. The antidiabetic property of plant extracts have been analysed by inhibition of alpha amylase and alpha glycosidase enzymes. These two are the key enzymes for the breakdown of starch into glucose; thereby increase the glucose concentration in the blood stream. The important feature associated with the inhibition of these enzymes leads to normal health as usual, which gets declined due to the allopathic medicines viz insulin. So the Ayurvedic medicines in the form of plants or plant products are to be consumed than those of allopathic medicines. Similarly the plant (</w:t>
      </w:r>
      <w:r w:rsidRPr="004F101D">
        <w:rPr>
          <w:rFonts w:ascii="Times New Roman" w:hAnsi="Times New Roman" w:cs="Times New Roman"/>
          <w:i/>
          <w:iCs/>
          <w:color w:val="000000"/>
          <w:sz w:val="24"/>
          <w:szCs w:val="24"/>
        </w:rPr>
        <w:t>Ginkgo biloba</w:t>
      </w:r>
      <w:r>
        <w:rPr>
          <w:rFonts w:ascii="Times New Roman" w:hAnsi="Times New Roman" w:cs="Times New Roman"/>
          <w:iCs/>
          <w:color w:val="000000"/>
          <w:sz w:val="24"/>
          <w:szCs w:val="24"/>
        </w:rPr>
        <w:t xml:space="preserve">) posses the antidiabetic effect as mentioned in the concerned study. </w:t>
      </w:r>
    </w:p>
    <w:p w:rsidR="00214C54" w:rsidRDefault="00214C54"/>
    <w:sectPr w:rsidR="00214C54" w:rsidSect="00214C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370F80"/>
    <w:rsid w:val="00214C54"/>
    <w:rsid w:val="00370F80"/>
    <w:rsid w:val="00913B23"/>
    <w:rsid w:val="00C55D88"/>
    <w:rsid w:val="00FC31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200" w:line="12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F80"/>
    <w:pPr>
      <w:spacing w:before="0" w:beforeAutospacing="0" w:after="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197</Words>
  <Characters>1124</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compaq</cp:lastModifiedBy>
  <cp:revision>2</cp:revision>
  <dcterms:created xsi:type="dcterms:W3CDTF">2016-08-31T09:13:00Z</dcterms:created>
  <dcterms:modified xsi:type="dcterms:W3CDTF">2016-08-31T09:17:00Z</dcterms:modified>
</cp:coreProperties>
</file>