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CB2C76" w:rsidRPr="00CB2C76">
        <w:rPr>
          <w:noProof/>
          <w:sz w:val="22"/>
          <w:szCs w:val="22"/>
          <w:lang w:val="en-US" w:eastAsia="en-US"/>
        </w:rPr>
        <w:drawing>
          <wp:inline distT="0" distB="0" distL="0" distR="0">
            <wp:extent cx="1187450" cy="1531620"/>
            <wp:effectExtent l="19050" t="0" r="0" b="0"/>
            <wp:docPr id="4" name="Picture 3" descr="D:\VaxoDocs\Photo_Vakho\Barbakad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VaxoDocs\Photo_Vakho\Barbakadz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1531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2C76" w:rsidRPr="00AE2645" w:rsidRDefault="00CB2C76" w:rsidP="00CB2C76">
      <w:pPr>
        <w:jc w:val="both"/>
        <w:rPr>
          <w:sz w:val="28"/>
          <w:szCs w:val="28"/>
        </w:rPr>
      </w:pPr>
      <w:r w:rsidRPr="00AE2645">
        <w:rPr>
          <w:sz w:val="28"/>
          <w:szCs w:val="28"/>
        </w:rPr>
        <w:t>Plant Macromolecule</w:t>
      </w:r>
      <w:r>
        <w:rPr>
          <w:sz w:val="28"/>
          <w:szCs w:val="28"/>
        </w:rPr>
        <w:t xml:space="preserve"> from </w:t>
      </w:r>
      <w:r w:rsidRPr="00775121">
        <w:rPr>
          <w:sz w:val="28"/>
          <w:szCs w:val="28"/>
        </w:rPr>
        <w:t>different species of Boraginaceae family</w:t>
      </w:r>
      <w:r>
        <w:rPr>
          <w:sz w:val="28"/>
          <w:szCs w:val="28"/>
        </w:rPr>
        <w:t xml:space="preserve">, its </w:t>
      </w:r>
      <w:r w:rsidRPr="00AE2645">
        <w:rPr>
          <w:sz w:val="28"/>
          <w:szCs w:val="28"/>
        </w:rPr>
        <w:t>synthetic monomer and their anticancer efficacy</w:t>
      </w:r>
    </w:p>
    <w:p w:rsidR="00E652D6" w:rsidRDefault="00AC3BCD" w:rsidP="00CB2C76"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</w:t>
      </w:r>
      <w:r w:rsidR="00CB2C76" w:rsidRPr="008A4DD8">
        <w:t>V.Barbakadze</w:t>
      </w:r>
    </w:p>
    <w:p w:rsidR="00CB2C76" w:rsidRDefault="00CB2C76" w:rsidP="00CB2C76">
      <w:r>
        <w:rPr>
          <w:b/>
          <w:sz w:val="28"/>
          <w:szCs w:val="28"/>
        </w:rPr>
        <w:t xml:space="preserve">               </w:t>
      </w:r>
      <w:r w:rsidR="00AC3BCD">
        <w:rPr>
          <w:b/>
          <w:sz w:val="28"/>
          <w:szCs w:val="28"/>
        </w:rPr>
        <w:t xml:space="preserve"> </w:t>
      </w:r>
      <w:r w:rsidRPr="00325560">
        <w:t xml:space="preserve">Tbilisi State </w:t>
      </w:r>
      <w:r w:rsidR="007226B2">
        <w:t xml:space="preserve">Medical University Institute of Pharmacochemistry, </w:t>
      </w:r>
      <w:r w:rsidRPr="00325560">
        <w:t>Tbilisi</w:t>
      </w:r>
      <w:r>
        <w:t xml:space="preserve"> 0159, Georgia</w:t>
      </w:r>
    </w:p>
    <w:p w:rsidR="00AC3BCD" w:rsidRDefault="00AC3BCD" w:rsidP="00CB2C76">
      <w:pPr>
        <w:rPr>
          <w:rFonts w:eastAsia="Batang"/>
          <w:color w:val="0000FF"/>
          <w:sz w:val="36"/>
          <w:szCs w:val="36"/>
        </w:rPr>
      </w:pPr>
    </w:p>
    <w:p w:rsidR="002546FC" w:rsidRPr="00120013" w:rsidRDefault="002546FC" w:rsidP="002546FC">
      <w:pPr>
        <w:ind w:firstLine="720"/>
        <w:jc w:val="both"/>
      </w:pPr>
      <w:r>
        <w:t xml:space="preserve">The </w:t>
      </w:r>
      <w:r w:rsidRPr="00B12E27">
        <w:rPr>
          <w:vertAlign w:val="superscript"/>
        </w:rPr>
        <w:t>13</w:t>
      </w:r>
      <w:r w:rsidRPr="00B12E27">
        <w:t xml:space="preserve">C </w:t>
      </w:r>
      <w:r>
        <w:t xml:space="preserve">NMR experiments of </w:t>
      </w:r>
      <w:r w:rsidRPr="002C1977">
        <w:t>water-soluble high-molecular</w:t>
      </w:r>
      <w:r>
        <w:t xml:space="preserve"> preparat</w:t>
      </w:r>
      <w:r w:rsidRPr="002C1977">
        <w:t>ions</w:t>
      </w:r>
      <w:r w:rsidRPr="004B6893">
        <w:t xml:space="preserve"> </w:t>
      </w:r>
      <w:r w:rsidRPr="00120013">
        <w:rPr>
          <w:rFonts w:eastAsia="MS PGothic"/>
          <w:color w:val="000000"/>
        </w:rPr>
        <w:t>from</w:t>
      </w:r>
      <w:r w:rsidRPr="00C5574B">
        <w:rPr>
          <w:rStyle w:val="Hyperlink"/>
          <w:i/>
          <w:color w:val="000000"/>
        </w:rPr>
        <w:t xml:space="preserve"> </w:t>
      </w:r>
      <w:r w:rsidRPr="005D59AB">
        <w:rPr>
          <w:rStyle w:val="ecxstyle11"/>
          <w:color w:val="000000"/>
        </w:rPr>
        <w:t>different</w:t>
      </w:r>
      <w:r>
        <w:rPr>
          <w:rStyle w:val="ecxstyle11"/>
          <w:color w:val="000000"/>
        </w:rPr>
        <w:t xml:space="preserve"> species of</w:t>
      </w:r>
      <w:r>
        <w:rPr>
          <w:rStyle w:val="ecxstyle11"/>
          <w:i/>
          <w:color w:val="000000"/>
        </w:rPr>
        <w:t xml:space="preserve"> </w:t>
      </w:r>
      <w:r w:rsidRPr="002C1977">
        <w:rPr>
          <w:rFonts w:eastAsia="MS PGothic"/>
          <w:color w:val="000000"/>
        </w:rPr>
        <w:t>Boraginaceae</w:t>
      </w:r>
      <w:r>
        <w:rPr>
          <w:rFonts w:eastAsia="MS PGothic"/>
          <w:color w:val="000000"/>
        </w:rPr>
        <w:t xml:space="preserve"> family</w:t>
      </w:r>
      <w:r w:rsidRPr="00B12E27">
        <w:t xml:space="preserve"> </w:t>
      </w:r>
      <w:r>
        <w:rPr>
          <w:bCs/>
        </w:rPr>
        <w:t>were carried out</w:t>
      </w:r>
      <w:r w:rsidRPr="00B12E27">
        <w:t xml:space="preserve"> and </w:t>
      </w:r>
      <w:r>
        <w:t xml:space="preserve">simulated </w:t>
      </w:r>
      <w:r w:rsidRPr="00B12E27">
        <w:rPr>
          <w:vertAlign w:val="superscript"/>
        </w:rPr>
        <w:t>13</w:t>
      </w:r>
      <w:r w:rsidRPr="00B12E27">
        <w:t>C NMR</w:t>
      </w:r>
      <w:r>
        <w:t xml:space="preserve"> spectrum was calculated for </w:t>
      </w:r>
      <w:r w:rsidRPr="00B12E27">
        <w:rPr>
          <w:bCs/>
        </w:rPr>
        <w:t>2-hydroxy-3-(3',4'-dihydroxyphenyl</w:t>
      </w:r>
      <w:r>
        <w:rPr>
          <w:bCs/>
        </w:rPr>
        <w:t xml:space="preserve">)-propionic acid residue (I) </w:t>
      </w:r>
      <w:r w:rsidRPr="00B12E27">
        <w:rPr>
          <w:bCs/>
        </w:rPr>
        <w:t>of the corresponding polyether</w:t>
      </w:r>
      <w:r>
        <w:rPr>
          <w:bCs/>
        </w:rPr>
        <w:t xml:space="preserve"> using </w:t>
      </w:r>
      <w:r w:rsidRPr="00B12E27">
        <w:rPr>
          <w:bCs/>
        </w:rPr>
        <w:t>ACD</w:t>
      </w:r>
      <w:r>
        <w:rPr>
          <w:bCs/>
        </w:rPr>
        <w:t>/</w:t>
      </w:r>
      <w:r w:rsidRPr="00B12E27">
        <w:rPr>
          <w:bCs/>
        </w:rPr>
        <w:t>CN</w:t>
      </w:r>
      <w:r>
        <w:rPr>
          <w:bCs/>
        </w:rPr>
        <w:t>M</w:t>
      </w:r>
      <w:r w:rsidRPr="00B12E27">
        <w:rPr>
          <w:bCs/>
        </w:rPr>
        <w:t xml:space="preserve">R </w:t>
      </w:r>
      <w:r>
        <w:rPr>
          <w:bCs/>
        </w:rPr>
        <w:t>Versi</w:t>
      </w:r>
      <w:r w:rsidRPr="00B12E27">
        <w:rPr>
          <w:bCs/>
        </w:rPr>
        <w:t>on 1.1</w:t>
      </w:r>
      <w:r>
        <w:rPr>
          <w:bCs/>
        </w:rPr>
        <w:t xml:space="preserve">  progra</w:t>
      </w:r>
      <w:r w:rsidRPr="00B12E27">
        <w:rPr>
          <w:bCs/>
        </w:rPr>
        <w:t>m</w:t>
      </w:r>
      <w:r>
        <w:rPr>
          <w:bCs/>
        </w:rPr>
        <w:t xml:space="preserve">. Signal positions in the </w:t>
      </w:r>
      <w:r w:rsidRPr="00B12E27">
        <w:rPr>
          <w:vertAlign w:val="superscript"/>
        </w:rPr>
        <w:t>13</w:t>
      </w:r>
      <w:r w:rsidRPr="00B12E27">
        <w:t xml:space="preserve">C </w:t>
      </w:r>
      <w:r>
        <w:t>NMR spectrum of this hypothetical structure</w:t>
      </w:r>
      <w:r w:rsidRPr="00B12E27">
        <w:t xml:space="preserve"> </w:t>
      </w:r>
      <w:r>
        <w:t xml:space="preserve">(I) coincided satisfactory with the experimental values. </w:t>
      </w:r>
      <w:r>
        <w:rPr>
          <w:rFonts w:eastAsia="MS PGothic"/>
          <w:color w:val="000000"/>
        </w:rPr>
        <w:t>According to</w:t>
      </w:r>
      <w:r w:rsidRPr="00B12E27">
        <w:rPr>
          <w:vertAlign w:val="superscript"/>
        </w:rPr>
        <w:t xml:space="preserve"> 13</w:t>
      </w:r>
      <w:r w:rsidRPr="00B12E27">
        <w:t>C</w:t>
      </w:r>
      <w:r>
        <w:t>,</w:t>
      </w:r>
      <w:r w:rsidRPr="00B12E27">
        <w:t xml:space="preserve"> </w:t>
      </w:r>
      <w:r w:rsidRPr="00B12E27">
        <w:rPr>
          <w:vertAlign w:val="superscript"/>
        </w:rPr>
        <w:t>1</w:t>
      </w:r>
      <w:r w:rsidRPr="00B12E27">
        <w:t xml:space="preserve">H NMR, APT, 2D heteronuclear </w:t>
      </w:r>
      <w:r w:rsidRPr="00B12E27">
        <w:rPr>
          <w:vertAlign w:val="superscript"/>
        </w:rPr>
        <w:t>1</w:t>
      </w:r>
      <w:r w:rsidRPr="00B12E27">
        <w:t>H/</w:t>
      </w:r>
      <w:r w:rsidRPr="00B12E27">
        <w:rPr>
          <w:vertAlign w:val="superscript"/>
        </w:rPr>
        <w:t>13</w:t>
      </w:r>
      <w:r>
        <w:t xml:space="preserve">C HSQC and </w:t>
      </w:r>
      <w:r w:rsidRPr="00B12E27">
        <w:t xml:space="preserve">2D DOSY </w:t>
      </w:r>
      <w:r>
        <w:t>experiments</w:t>
      </w:r>
      <w:r w:rsidRPr="004B6893">
        <w:t xml:space="preserve"> the main structural element of </w:t>
      </w:r>
      <w:r>
        <w:t xml:space="preserve">these </w:t>
      </w:r>
      <w:r w:rsidRPr="004B6893">
        <w:t>preparations</w:t>
      </w:r>
      <w:r>
        <w:t xml:space="preserve"> </w:t>
      </w:r>
      <w:r w:rsidRPr="004B6893">
        <w:t xml:space="preserve">was found to be a regularly substituted by </w:t>
      </w:r>
      <w:r w:rsidRPr="004B6893">
        <w:rPr>
          <w:bCs/>
        </w:rPr>
        <w:t xml:space="preserve">3,4-dihydroxyphenyl  and  carboxyl  groups </w:t>
      </w:r>
      <w:r w:rsidRPr="004B6893">
        <w:t>polyoxyethylene backbone, namely poly[3-(3,4-dihydroxyphenyl)glyceric acid] (PDPGA) or poly[oxy-1-carboxy-2-(3,4-dihydroxyphenyl)ethylene].</w:t>
      </w:r>
      <w:r>
        <w:rPr>
          <w:bCs/>
          <w:lang w:eastAsia="ru-RU"/>
        </w:rPr>
        <w:t xml:space="preserve"> T</w:t>
      </w:r>
      <w:r w:rsidRPr="001A5CD5">
        <w:rPr>
          <w:bCs/>
          <w:lang w:eastAsia="ru-RU"/>
        </w:rPr>
        <w:t>he</w:t>
      </w:r>
      <w:r>
        <w:rPr>
          <w:bCs/>
          <w:lang w:eastAsia="ru-RU"/>
        </w:rPr>
        <w:t xml:space="preserve"> synthesis of racemic </w:t>
      </w:r>
      <w:r w:rsidRPr="001A5CD5">
        <w:rPr>
          <w:bCs/>
          <w:lang w:eastAsia="ru-RU"/>
        </w:rPr>
        <w:t>monomer</w:t>
      </w:r>
      <w:r>
        <w:rPr>
          <w:bCs/>
          <w:lang w:eastAsia="ru-RU"/>
        </w:rPr>
        <w:t xml:space="preserve"> of</w:t>
      </w:r>
      <w:r w:rsidRPr="00FD78ED">
        <w:t xml:space="preserve"> </w:t>
      </w:r>
      <w:r w:rsidRPr="004B6893">
        <w:t>PDPGA</w:t>
      </w:r>
      <w:r>
        <w:rPr>
          <w:bCs/>
          <w:lang w:eastAsia="ru-RU"/>
        </w:rPr>
        <w:t xml:space="preserve"> </w:t>
      </w:r>
      <w:r w:rsidRPr="001A5CD5">
        <w:t>2,3-dihydroxy-3-(3,4-dihydroxyphenyl)propionic acid (</w:t>
      </w:r>
      <w:r w:rsidRPr="001A5CD5">
        <w:rPr>
          <w:bCs/>
        </w:rPr>
        <w:t>DDPPA)</w:t>
      </w:r>
      <w:r>
        <w:rPr>
          <w:bCs/>
        </w:rPr>
        <w:t xml:space="preserve"> </w:t>
      </w:r>
      <w:r w:rsidRPr="001A5CD5">
        <w:rPr>
          <w:bCs/>
        </w:rPr>
        <w:t>and</w:t>
      </w:r>
      <w:r>
        <w:rPr>
          <w:bCs/>
        </w:rPr>
        <w:t xml:space="preserve"> </w:t>
      </w:r>
      <w:r w:rsidRPr="001A5CD5">
        <w:rPr>
          <w:bCs/>
        </w:rPr>
        <w:t>its</w:t>
      </w:r>
      <w:r w:rsidRPr="001A5CD5">
        <w:t xml:space="preserve"> enantiomers</w:t>
      </w:r>
      <w:r>
        <w:t xml:space="preserve"> </w:t>
      </w:r>
      <w:r w:rsidRPr="001A5CD5">
        <w:rPr>
          <w:color w:val="241F20"/>
        </w:rPr>
        <w:t xml:space="preserve">(+)-(2R,3S)-DDPPA and (–)-(2S,3R)-DDPPA </w:t>
      </w:r>
      <w:r w:rsidR="00EE5F91" w:rsidRPr="001A5CD5">
        <w:rPr>
          <w:color w:val="241F20"/>
        </w:rPr>
        <w:t>w</w:t>
      </w:r>
      <w:r w:rsidR="008C5FF7">
        <w:rPr>
          <w:color w:val="241F20"/>
        </w:rPr>
        <w:t>as</w:t>
      </w:r>
      <w:r w:rsidR="00EE5F91" w:rsidRPr="001A5CD5">
        <w:rPr>
          <w:color w:val="241F20"/>
        </w:rPr>
        <w:t xml:space="preserve"> carried out </w:t>
      </w:r>
      <w:r w:rsidRPr="001A5CD5">
        <w:rPr>
          <w:color w:val="241F20"/>
        </w:rPr>
        <w:t xml:space="preserve">via Sharpless asymmetric dihydroxylation  of  trans-caffeic acid derivatives using </w:t>
      </w:r>
      <w:r>
        <w:rPr>
          <w:bCs/>
          <w:color w:val="241F20"/>
        </w:rPr>
        <w:t xml:space="preserve">a </w:t>
      </w:r>
      <w:r w:rsidRPr="001A5CD5">
        <w:rPr>
          <w:bCs/>
          <w:color w:val="241F20"/>
        </w:rPr>
        <w:t>potassium osmate catalys</w:t>
      </w:r>
      <w:r>
        <w:rPr>
          <w:bCs/>
          <w:color w:val="241F20"/>
        </w:rPr>
        <w:t>t</w:t>
      </w:r>
      <w:r w:rsidRPr="001A5CD5">
        <w:rPr>
          <w:bCs/>
          <w:color w:val="241F20"/>
        </w:rPr>
        <w:t xml:space="preserve"> </w:t>
      </w:r>
      <w:r w:rsidRPr="001A5CD5">
        <w:rPr>
          <w:bCs/>
        </w:rPr>
        <w:t>and enantiocomplementary catalysts cinchona  alkaloid  derivatives  (DHQ)</w:t>
      </w:r>
      <w:r w:rsidRPr="001A5CD5">
        <w:rPr>
          <w:bCs/>
          <w:vertAlign w:val="subscript"/>
        </w:rPr>
        <w:t>2</w:t>
      </w:r>
      <w:r w:rsidRPr="001A5CD5">
        <w:rPr>
          <w:bCs/>
        </w:rPr>
        <w:t>-PHAL  and  (DHQD)</w:t>
      </w:r>
      <w:r w:rsidRPr="001A5CD5">
        <w:rPr>
          <w:bCs/>
          <w:vertAlign w:val="subscript"/>
        </w:rPr>
        <w:t>2</w:t>
      </w:r>
      <w:r w:rsidRPr="001A5CD5">
        <w:rPr>
          <w:bCs/>
        </w:rPr>
        <w:t>-PHA</w:t>
      </w:r>
      <w:r>
        <w:rPr>
          <w:bCs/>
        </w:rPr>
        <w:t xml:space="preserve">L as chiral </w:t>
      </w:r>
      <w:r w:rsidRPr="00B55615">
        <w:rPr>
          <w:bCs/>
        </w:rPr>
        <w:t>auxiliaries</w:t>
      </w:r>
      <w:r w:rsidRPr="001A5CD5">
        <w:rPr>
          <w:bCs/>
        </w:rPr>
        <w:t>.</w:t>
      </w:r>
      <w:r>
        <w:rPr>
          <w:bCs/>
        </w:rPr>
        <w:t xml:space="preserve"> </w:t>
      </w:r>
      <w:r>
        <w:t>T</w:t>
      </w:r>
      <w:r w:rsidRPr="003676B2">
        <w:t>he opposite conﬁguration of</w:t>
      </w:r>
      <w:r>
        <w:t xml:space="preserve"> both enantiomers wa</w:t>
      </w:r>
      <w:r w:rsidRPr="003676B2">
        <w:t>s conﬁrmed by measurements of</w:t>
      </w:r>
      <w:r>
        <w:t xml:space="preserve"> </w:t>
      </w:r>
      <w:r w:rsidRPr="003676B2">
        <w:t>the optical rotation (</w:t>
      </w:r>
      <w:r>
        <w:t>+</w:t>
      </w:r>
      <w:r w:rsidRPr="003676B2">
        <w:t>)/(</w:t>
      </w:r>
      <w:r w:rsidRPr="001A5CD5">
        <w:rPr>
          <w:color w:val="241F20"/>
        </w:rPr>
        <w:t>–</w:t>
      </w:r>
      <w:r w:rsidRPr="003676B2">
        <w:t>)-values and circular dichroism</w:t>
      </w:r>
      <w:r>
        <w:t xml:space="preserve"> spectra. </w:t>
      </w:r>
      <w:r w:rsidR="00107D27" w:rsidRPr="00FD1B17">
        <w:rPr>
          <w:color w:val="241F20"/>
        </w:rPr>
        <w:t>The determination of enantiomeric purity was performed by</w:t>
      </w:r>
      <w:r w:rsidR="00107D27" w:rsidRPr="00120013">
        <w:t xml:space="preserve"> </w:t>
      </w:r>
      <w:r w:rsidR="00107D27">
        <w:t xml:space="preserve">HPLC analysis. </w:t>
      </w:r>
      <w:r w:rsidRPr="00120013">
        <w:t>PDPGA</w:t>
      </w:r>
      <w:r w:rsidRPr="00120013">
        <w:rPr>
          <w:bCs/>
          <w:lang w:eastAsia="ru-RU"/>
        </w:rPr>
        <w:t xml:space="preserve"> and DDPPA  </w:t>
      </w:r>
      <w:r w:rsidRPr="00120013">
        <w:rPr>
          <w:bCs/>
          <w:kern w:val="36"/>
        </w:rPr>
        <w:t xml:space="preserve">exerted  anti-cancer efficacy  </w:t>
      </w:r>
      <w:r w:rsidRPr="00120013">
        <w:rPr>
          <w:bCs/>
          <w:i/>
          <w:kern w:val="36"/>
        </w:rPr>
        <w:t>in vitro</w:t>
      </w:r>
      <w:r w:rsidRPr="00120013">
        <w:rPr>
          <w:bCs/>
          <w:kern w:val="36"/>
        </w:rPr>
        <w:t xml:space="preserve">  and  </w:t>
      </w:r>
      <w:r w:rsidRPr="00120013">
        <w:rPr>
          <w:bCs/>
          <w:i/>
          <w:kern w:val="36"/>
        </w:rPr>
        <w:t>in vivo</w:t>
      </w:r>
      <w:r w:rsidRPr="00120013">
        <w:rPr>
          <w:bCs/>
          <w:kern w:val="36"/>
        </w:rPr>
        <w:t xml:space="preserve">  against  </w:t>
      </w:r>
      <w:r w:rsidRPr="00120013">
        <w:t xml:space="preserve">  human  prostate cancer</w:t>
      </w:r>
      <w:r w:rsidRPr="00120013">
        <w:rPr>
          <w:bCs/>
        </w:rPr>
        <w:t xml:space="preserve"> (PCA)</w:t>
      </w:r>
      <w:r w:rsidRPr="00120013">
        <w:t xml:space="preserve"> cells</w:t>
      </w:r>
      <w:r w:rsidRPr="00120013">
        <w:rPr>
          <w:bCs/>
          <w:kern w:val="36"/>
        </w:rPr>
        <w:t xml:space="preserve">  via  targeting  androgen  receptor,  cell  cycle  arrest  and  apoptosis  </w:t>
      </w:r>
      <w:r w:rsidRPr="00120013">
        <w:rPr>
          <w:bCs/>
        </w:rPr>
        <w:t xml:space="preserve">without  any  toxicity, together  with  a strong  decrease  in  prostate  specific antigen  level in plasma. However, our  results  showed  that anticancer efficacy of  </w:t>
      </w:r>
      <w:r w:rsidRPr="00120013">
        <w:t xml:space="preserve">PDPGA </w:t>
      </w:r>
      <w:r w:rsidRPr="00120013">
        <w:rPr>
          <w:bCs/>
        </w:rPr>
        <w:t xml:space="preserve"> is more effective compared to its synthetic  monomer. Overall, this study identifies  </w:t>
      </w:r>
      <w:r w:rsidRPr="00120013">
        <w:t>PDPGA</w:t>
      </w:r>
      <w:r w:rsidRPr="00120013">
        <w:rPr>
          <w:bCs/>
        </w:rPr>
        <w:t xml:space="preserve"> as a potent agent against PCA  without any toxicity, and  supports  its clinical application.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2546FC" w:rsidRDefault="002546FC" w:rsidP="002546FC">
      <w:pPr>
        <w:pStyle w:val="a"/>
        <w:rPr>
          <w:bCs/>
        </w:rPr>
      </w:pPr>
      <w:r w:rsidRPr="001B5B73">
        <w:rPr>
          <w:bCs/>
        </w:rPr>
        <w:t>1978</w:t>
      </w:r>
      <w:r>
        <w:t xml:space="preserve"> and 1999 has completed his </w:t>
      </w:r>
      <w:proofErr w:type="spellStart"/>
      <w:r>
        <w:t>Ph.D</w:t>
      </w:r>
      <w:proofErr w:type="spellEnd"/>
      <w:r>
        <w:t xml:space="preserve"> and </w:t>
      </w:r>
      <w:proofErr w:type="spellStart"/>
      <w:r w:rsidRPr="0012260D">
        <w:rPr>
          <w:bCs/>
        </w:rPr>
        <w:t>D.Sci</w:t>
      </w:r>
      <w:proofErr w:type="spellEnd"/>
      <w:r w:rsidRPr="0012260D">
        <w:rPr>
          <w:bCs/>
        </w:rPr>
        <w:t>.</w:t>
      </w:r>
      <w:r>
        <w:rPr>
          <w:bCs/>
        </w:rPr>
        <w:t xml:space="preserve"> </w:t>
      </w:r>
      <w:r>
        <w:t xml:space="preserve">at the ages of 33 and 54 years from </w:t>
      </w:r>
      <w:proofErr w:type="spellStart"/>
      <w:r w:rsidRPr="0012260D">
        <w:t>Zelinsky</w:t>
      </w:r>
      <w:proofErr w:type="spellEnd"/>
      <w:r w:rsidRPr="0012260D">
        <w:t xml:space="preserve"> </w:t>
      </w:r>
      <w:proofErr w:type="spellStart"/>
      <w:r w:rsidRPr="0012260D">
        <w:t>Instiute</w:t>
      </w:r>
      <w:proofErr w:type="spellEnd"/>
      <w:r w:rsidRPr="0012260D">
        <w:t xml:space="preserve"> of Or</w:t>
      </w:r>
      <w:r>
        <w:t xml:space="preserve">ganic Chemistry, Moscow, Russia and </w:t>
      </w:r>
      <w:proofErr w:type="spellStart"/>
      <w:r w:rsidRPr="0012260D">
        <w:rPr>
          <w:bCs/>
        </w:rPr>
        <w:t>Durmishidze</w:t>
      </w:r>
      <w:proofErr w:type="spellEnd"/>
      <w:r w:rsidRPr="0012260D">
        <w:rPr>
          <w:bCs/>
        </w:rPr>
        <w:t xml:space="preserve"> Institute of Biochemistry and Biotechnology, Tbilisi, Georgia</w:t>
      </w:r>
      <w:r>
        <w:rPr>
          <w:bCs/>
        </w:rPr>
        <w:t>, respectively</w:t>
      </w:r>
      <w:r w:rsidRPr="0012260D">
        <w:rPr>
          <w:bCs/>
        </w:rPr>
        <w:t>.</w:t>
      </w:r>
      <w:r>
        <w:rPr>
          <w:bCs/>
        </w:rPr>
        <w:t xml:space="preserve"> 2006 up to date he is the head of laboratory of plant biopolymers at the Tbilisi State Medical University Institute of </w:t>
      </w:r>
      <w:proofErr w:type="spellStart"/>
      <w:r>
        <w:rPr>
          <w:bCs/>
        </w:rPr>
        <w:t>Pharmacochemistry</w:t>
      </w:r>
      <w:proofErr w:type="spellEnd"/>
      <w:r>
        <w:rPr>
          <w:bCs/>
        </w:rPr>
        <w:t xml:space="preserve">. </w:t>
      </w:r>
      <w:r>
        <w:t>1996 and 2002 he has been a visiting s</w:t>
      </w:r>
      <w:r w:rsidRPr="001B5B73">
        <w:t>cientist</w:t>
      </w:r>
      <w:r>
        <w:t xml:space="preserve"> at Utrecht</w:t>
      </w:r>
      <w:r w:rsidRPr="001B5B73">
        <w:t xml:space="preserve"> </w:t>
      </w:r>
      <w:r>
        <w:t>University (f</w:t>
      </w:r>
      <w:r w:rsidRPr="001B5B73">
        <w:t xml:space="preserve">aculty of </w:t>
      </w:r>
      <w:r>
        <w:t>p</w:t>
      </w:r>
      <w:r w:rsidRPr="001B5B73">
        <w:t>harmacy</w:t>
      </w:r>
      <w:r>
        <w:t>)</w:t>
      </w:r>
      <w:r w:rsidRPr="001B5B73">
        <w:t>, The Netherlands</w:t>
      </w:r>
      <w:r>
        <w:t>, by U</w:t>
      </w:r>
      <w:r w:rsidRPr="001B5B73">
        <w:t xml:space="preserve">niversity </w:t>
      </w:r>
      <w:r>
        <w:t>Scholarship</w:t>
      </w:r>
      <w:r w:rsidRPr="00DE7651">
        <w:rPr>
          <w:bCs/>
        </w:rPr>
        <w:t xml:space="preserve"> </w:t>
      </w:r>
      <w:r>
        <w:rPr>
          <w:bCs/>
        </w:rPr>
        <w:t xml:space="preserve">and </w:t>
      </w:r>
      <w:r>
        <w:t>The Netherlands organization for scientific research (NWO) Scholarship</w:t>
      </w:r>
      <w:r>
        <w:rPr>
          <w:bCs/>
        </w:rPr>
        <w:t xml:space="preserve"> Scientific Program, respectively</w:t>
      </w:r>
      <w:r>
        <w:t>.</w:t>
      </w:r>
      <w:r w:rsidRPr="001B5B73">
        <w:t xml:space="preserve"> </w:t>
      </w:r>
      <w:r>
        <w:rPr>
          <w:bCs/>
        </w:rPr>
        <w:t>He has published more than 80 papers in reputed journals.</w:t>
      </w:r>
    </w:p>
    <w:p w:rsidR="002546FC" w:rsidRPr="002546FC" w:rsidRDefault="002546FC" w:rsidP="002546FC">
      <w:pPr>
        <w:rPr>
          <w:lang w:val="en-US" w:eastAsia="en-US"/>
        </w:rPr>
      </w:pPr>
    </w:p>
    <w:p w:rsidR="007226B2" w:rsidRDefault="00072E30" w:rsidP="007226B2">
      <w:pPr>
        <w:autoSpaceDE w:val="0"/>
        <w:autoSpaceDN w:val="0"/>
        <w:adjustRightInd w:val="0"/>
        <w:rPr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2546FC">
        <w:rPr>
          <w:lang w:val="en-NZ"/>
        </w:rPr>
        <w:t>Vakhtang</w:t>
      </w:r>
      <w:proofErr w:type="spellEnd"/>
      <w:r w:rsidR="002546FC">
        <w:rPr>
          <w:lang w:val="en-NZ"/>
        </w:rPr>
        <w:t xml:space="preserve"> </w:t>
      </w:r>
      <w:proofErr w:type="spellStart"/>
      <w:r w:rsidR="002546FC">
        <w:rPr>
          <w:lang w:val="en-NZ"/>
        </w:rPr>
        <w:t>Barbakadze</w:t>
      </w:r>
      <w:proofErr w:type="spellEnd"/>
      <w:r w:rsidRPr="008A690F">
        <w:rPr>
          <w:lang w:val="en-NZ"/>
        </w:rPr>
        <w:br/>
        <w:t>Contact number:</w:t>
      </w:r>
      <w:r w:rsidR="007226B2">
        <w:rPr>
          <w:lang w:val="en-NZ"/>
        </w:rPr>
        <w:t xml:space="preserve"> </w:t>
      </w:r>
      <w:r w:rsidR="007226B2">
        <w:t xml:space="preserve">+ (995 595) 531509, </w:t>
      </w:r>
      <w:r w:rsidR="007226B2" w:rsidRPr="00325560">
        <w:t>v_barbakadze@hotmail.com</w:t>
      </w:r>
      <w:r w:rsidR="007226B2" w:rsidRPr="008A690F">
        <w:rPr>
          <w:lang w:val="en-NZ"/>
        </w:rPr>
        <w:t xml:space="preserve"> </w:t>
      </w:r>
    </w:p>
    <w:p w:rsidR="007226B2" w:rsidRDefault="00072E30" w:rsidP="007226B2">
      <w:r w:rsidRPr="008A690F">
        <w:rPr>
          <w:lang w:val="en-NZ"/>
        </w:rPr>
        <w:lastRenderedPageBreak/>
        <w:t>Twitter account:</w:t>
      </w:r>
      <w:r w:rsidR="007226B2">
        <w:rPr>
          <w:lang w:val="en-NZ"/>
        </w:rPr>
        <w:t xml:space="preserve"> </w:t>
      </w:r>
      <w:r w:rsidR="007226B2" w:rsidRPr="002556F9">
        <w:t>https://twitter.com/vvbarbakadze</w:t>
      </w: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lang w:val="en-NZ"/>
        </w:rPr>
        <w:t>Linked In account:</w:t>
      </w:r>
      <w:r w:rsidR="007226B2">
        <w:rPr>
          <w:lang w:val="en-NZ"/>
        </w:rPr>
        <w:t xml:space="preserve"> </w:t>
      </w:r>
      <w:hyperlink r:id="rId9" w:history="1">
        <w:r w:rsidR="007226B2" w:rsidRPr="003D1E47">
          <w:rPr>
            <w:rStyle w:val="Hyperlink"/>
            <w:color w:val="auto"/>
            <w:u w:val="none"/>
          </w:rPr>
          <w:t>http://lnkd.in/pQQgMB</w:t>
        </w:r>
      </w:hyperlink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Pr="008A690F">
        <w:rPr>
          <w:lang w:val="en-NZ"/>
        </w:rPr>
        <w:t>:</w:t>
      </w:r>
      <w:r w:rsidR="007226B2">
        <w:rPr>
          <w:lang w:val="en-NZ"/>
        </w:rPr>
        <w:t xml:space="preserve"> </w:t>
      </w:r>
      <w:r w:rsidR="002B7F6F">
        <w:rPr>
          <w:lang w:val="en-NZ"/>
        </w:rPr>
        <w:t xml:space="preserve">Track 13: </w:t>
      </w:r>
      <w:hyperlink r:id="rId10" w:tooltip="Fundamentals of Organic Chemistry" w:history="1">
        <w:r w:rsidR="007226B2" w:rsidRPr="007226B2">
          <w:rPr>
            <w:rStyle w:val="Hyperlink"/>
            <w:color w:val="auto"/>
            <w:u w:val="none"/>
          </w:rPr>
          <w:t>Fundamentals of Organic Chemistry</w:t>
        </w:r>
      </w:hyperlink>
      <w:r w:rsidR="002B7F6F">
        <w:t>/</w:t>
      </w:r>
      <w:r w:rsidR="009B50ED">
        <w:t>Track 13-7 Phosphines &amp; Polymers</w:t>
      </w:r>
      <w:r w:rsidRPr="008A690F">
        <w:rPr>
          <w:lang w:val="en-NZ"/>
        </w:rPr>
        <w:br/>
        <w:t>Category: (Oral presentation/ Poster</w:t>
      </w:r>
      <w:r w:rsidR="00085B88" w:rsidRPr="008A690F">
        <w:rPr>
          <w:lang w:val="en-NZ"/>
        </w:rPr>
        <w:t xml:space="preserve"> presentation</w:t>
      </w:r>
      <w:r w:rsidRPr="008A690F">
        <w:rPr>
          <w:lang w:val="en-NZ"/>
        </w:rPr>
        <w:t>)</w:t>
      </w:r>
      <w:r w:rsidR="007226B2">
        <w:rPr>
          <w:lang w:val="en-NZ"/>
        </w:rPr>
        <w:t xml:space="preserve"> Oral presentation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217" w:rsidRDefault="00A13217" w:rsidP="00671A59">
      <w:r>
        <w:separator/>
      </w:r>
    </w:p>
  </w:endnote>
  <w:endnote w:type="continuationSeparator" w:id="0">
    <w:p w:rsidR="00A13217" w:rsidRDefault="00A13217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utami">
    <w:altName w:val="Gadugi"/>
    <w:panose1 w:val="020B0502040204020203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217" w:rsidRDefault="00A13217" w:rsidP="00671A59">
      <w:r>
        <w:separator/>
      </w:r>
    </w:p>
  </w:footnote>
  <w:footnote w:type="continuationSeparator" w:id="0">
    <w:p w:rsidR="00A13217" w:rsidRDefault="00A13217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315" w:rsidRDefault="00AD63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removePersonalInformation/>
  <w:removeDateAndTime/>
  <w:embedSystemFonts/>
  <w:hideSpellingErrors/>
  <w:hideGrammaticalErrors/>
  <w:proofState w:spelling="clean" w:grammar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07D27"/>
    <w:rsid w:val="001216E5"/>
    <w:rsid w:val="0013563F"/>
    <w:rsid w:val="00145878"/>
    <w:rsid w:val="001A411C"/>
    <w:rsid w:val="001B1336"/>
    <w:rsid w:val="001B6DE6"/>
    <w:rsid w:val="001F414A"/>
    <w:rsid w:val="00205354"/>
    <w:rsid w:val="002062F6"/>
    <w:rsid w:val="002546FC"/>
    <w:rsid w:val="002659F1"/>
    <w:rsid w:val="00270EC9"/>
    <w:rsid w:val="002769DD"/>
    <w:rsid w:val="00292DC0"/>
    <w:rsid w:val="002B18D5"/>
    <w:rsid w:val="002B7F6F"/>
    <w:rsid w:val="002C0F2B"/>
    <w:rsid w:val="002C5B1C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96A41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127A6"/>
    <w:rsid w:val="007226B2"/>
    <w:rsid w:val="007258AA"/>
    <w:rsid w:val="00743CCA"/>
    <w:rsid w:val="00746319"/>
    <w:rsid w:val="007875D1"/>
    <w:rsid w:val="00790C29"/>
    <w:rsid w:val="007F0333"/>
    <w:rsid w:val="00800D58"/>
    <w:rsid w:val="00834D93"/>
    <w:rsid w:val="00862283"/>
    <w:rsid w:val="008A3E9A"/>
    <w:rsid w:val="008A690F"/>
    <w:rsid w:val="008C5FF7"/>
    <w:rsid w:val="00901E5B"/>
    <w:rsid w:val="00920053"/>
    <w:rsid w:val="00935F11"/>
    <w:rsid w:val="00970E67"/>
    <w:rsid w:val="009821B4"/>
    <w:rsid w:val="009A6AD9"/>
    <w:rsid w:val="009B0CCF"/>
    <w:rsid w:val="009B50ED"/>
    <w:rsid w:val="009B7F4F"/>
    <w:rsid w:val="009D3EA4"/>
    <w:rsid w:val="009E6632"/>
    <w:rsid w:val="009E6C61"/>
    <w:rsid w:val="00A02FC6"/>
    <w:rsid w:val="00A13217"/>
    <w:rsid w:val="00A31D17"/>
    <w:rsid w:val="00A41107"/>
    <w:rsid w:val="00A42A9D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C0DB1"/>
    <w:rsid w:val="00BF5676"/>
    <w:rsid w:val="00CB2C76"/>
    <w:rsid w:val="00CE08A2"/>
    <w:rsid w:val="00D367E3"/>
    <w:rsid w:val="00DA2249"/>
    <w:rsid w:val="00DA581F"/>
    <w:rsid w:val="00DC29A1"/>
    <w:rsid w:val="00DC7405"/>
    <w:rsid w:val="00DD1206"/>
    <w:rsid w:val="00DD3006"/>
    <w:rsid w:val="00DE2102"/>
    <w:rsid w:val="00E07204"/>
    <w:rsid w:val="00E119D1"/>
    <w:rsid w:val="00E652D6"/>
    <w:rsid w:val="00E713DA"/>
    <w:rsid w:val="00E85CF8"/>
    <w:rsid w:val="00EB353E"/>
    <w:rsid w:val="00ED51D7"/>
    <w:rsid w:val="00EE1DF0"/>
    <w:rsid w:val="00EE5F91"/>
    <w:rsid w:val="00F01887"/>
    <w:rsid w:val="00F10FDE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FC6"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A02FC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A02FC6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A02FC6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A02F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02F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A02FC6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A02FC6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customStyle="1" w:styleId="ecxstyle11">
    <w:name w:val="ecxstyle11"/>
    <w:basedOn w:val="DefaultParagraphFont"/>
    <w:rsid w:val="002546FC"/>
  </w:style>
  <w:style w:type="paragraph" w:customStyle="1" w:styleId="a">
    <w:name w:val="Название предприятия"/>
    <w:basedOn w:val="Normal"/>
    <w:next w:val="Normal"/>
    <w:autoRedefine/>
    <w:rsid w:val="002546FC"/>
    <w:pPr>
      <w:jc w:val="both"/>
    </w:pPr>
    <w:rPr>
      <w:color w:val="00000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chemistry.conferenceseries.com/europe/events-list/fundamentals-of-organic-chemistry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nkd.in/pQQgMB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DCACF-131B-419D-974F-6330449CB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> </vt:lpstr>
    </vt:vector>
  </TitlesOfParts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2016-06-29T06:46:00Z</dcterms:created>
  <dcterms:modified xsi:type="dcterms:W3CDTF">2016-07-02T04:53:00Z</dcterms:modified>
</cp:coreProperties>
</file>