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1C3B" w:rsidRPr="00A01C3B" w:rsidRDefault="00A01C3B" w:rsidP="00A01C3B">
      <w:pPr>
        <w:pStyle w:val="Heading1"/>
        <w:spacing w:before="170"/>
        <w:rPr>
          <w:color w:val="337AB7"/>
          <w:lang w:val="it-IT"/>
        </w:rPr>
      </w:pPr>
      <w:r w:rsidRPr="00A01C3B">
        <w:rPr>
          <w:color w:val="337AB7"/>
          <w:lang w:val="en"/>
        </w:rPr>
        <w:t>A new approach to modeling and simulating of mass transfer processes in industrial column apparatuses</w:t>
      </w:r>
    </w:p>
    <w:p w:rsidR="00AE3E37" w:rsidRDefault="00AE3E37" w:rsidP="00494130">
      <w:pPr>
        <w:pStyle w:val="Heading1"/>
        <w:spacing w:before="170"/>
        <w:ind w:left="0"/>
      </w:pPr>
    </w:p>
    <w:p w:rsidR="00A01C3B" w:rsidRDefault="00A01C3B" w:rsidP="00A01C3B">
      <w:pPr>
        <w:pStyle w:val="BodyText"/>
        <w:spacing w:before="73" w:line="198" w:lineRule="exact"/>
        <w:ind w:left="100" w:right="5987"/>
        <w:rPr>
          <w:rFonts w:ascii="Arial"/>
          <w:b/>
          <w:lang w:val="it-IT"/>
        </w:rPr>
      </w:pPr>
      <w:r w:rsidRPr="00A01C3B">
        <w:rPr>
          <w:rFonts w:ascii="Arial"/>
          <w:lang w:val="it-IT"/>
        </w:rPr>
        <w:t>Christo Boyadjiev</w:t>
      </w:r>
      <w:r>
        <w:rPr>
          <w:rFonts w:ascii="Arial"/>
          <w:lang w:val="it-IT"/>
        </w:rPr>
        <w:t>,</w:t>
      </w:r>
      <w:proofErr w:type="gramStart"/>
      <w:r>
        <w:rPr>
          <w:rFonts w:ascii="Arial"/>
          <w:lang w:val="it-IT"/>
        </w:rPr>
        <w:t xml:space="preserve"> </w:t>
      </w:r>
      <w:r w:rsidRPr="00A01C3B">
        <w:rPr>
          <w:rFonts w:ascii="Arial"/>
          <w:b/>
          <w:lang w:val="it-IT"/>
        </w:rPr>
        <w:t xml:space="preserve">                     </w:t>
      </w:r>
      <w:proofErr w:type="gramEnd"/>
    </w:p>
    <w:p w:rsidR="005973B9" w:rsidRDefault="00A01C3B" w:rsidP="00A01C3B">
      <w:pPr>
        <w:pStyle w:val="BodyText"/>
        <w:spacing w:before="73" w:line="198" w:lineRule="exact"/>
        <w:ind w:left="100" w:right="5987"/>
        <w:rPr>
          <w:rFonts w:ascii="Arial"/>
        </w:rPr>
      </w:pPr>
      <w:r w:rsidRPr="00A01C3B">
        <w:rPr>
          <w:rFonts w:ascii="Arial"/>
          <w:bCs/>
        </w:rPr>
        <w:t xml:space="preserve">Institute of </w:t>
      </w:r>
      <w:proofErr w:type="gramStart"/>
      <w:r w:rsidRPr="00A01C3B">
        <w:rPr>
          <w:rFonts w:ascii="Arial"/>
          <w:bCs/>
        </w:rPr>
        <w:t xml:space="preserve">Chemical </w:t>
      </w:r>
      <w:r>
        <w:rPr>
          <w:rFonts w:ascii="Arial"/>
          <w:bCs/>
        </w:rPr>
        <w:t xml:space="preserve"> E</w:t>
      </w:r>
      <w:r w:rsidRPr="00A01C3B">
        <w:rPr>
          <w:rFonts w:ascii="Arial"/>
          <w:bCs/>
        </w:rPr>
        <w:t>ngineering</w:t>
      </w:r>
      <w:proofErr w:type="gramEnd"/>
      <w:r w:rsidRPr="00A01C3B">
        <w:rPr>
          <w:rFonts w:ascii="Arial"/>
          <w:bCs/>
        </w:rPr>
        <w:t>, Bulgarian Academy of Sciences, Bulgaria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A01C3B" w:rsidRDefault="00A9710C" w:rsidP="00A01C3B">
      <w:pPr>
        <w:pStyle w:val="BodyText"/>
        <w:spacing w:before="90" w:line="280" w:lineRule="auto"/>
        <w:ind w:left="100"/>
      </w:pPr>
      <w:r>
        <w:t xml:space="preserve">Statement of the Problem: </w:t>
      </w:r>
    </w:p>
    <w:p w:rsidR="00A01C3B" w:rsidRPr="00A01C3B" w:rsidRDefault="00A01C3B" w:rsidP="00A01C3B">
      <w:pPr>
        <w:pStyle w:val="BodyText"/>
        <w:spacing w:before="90" w:line="280" w:lineRule="auto"/>
        <w:ind w:left="100"/>
        <w:rPr>
          <w:lang w:val="en"/>
        </w:rPr>
      </w:pPr>
      <w:r w:rsidRPr="00A01C3B">
        <w:rPr>
          <w:lang w:val="en"/>
        </w:rPr>
        <w:t>The diffusion boundary theory is not applicable for the modeling of chemical, absorption, adsorption and catalytic processes in column apparatuses, where the velocity distributions and interphase boundaries are unknown.</w:t>
      </w:r>
    </w:p>
    <w:p w:rsidR="00A01C3B" w:rsidRPr="00A01C3B" w:rsidRDefault="00A01C3B" w:rsidP="00A01C3B">
      <w:pPr>
        <w:pStyle w:val="BodyText"/>
        <w:spacing w:before="90" w:line="280" w:lineRule="auto"/>
        <w:ind w:left="100"/>
        <w:rPr>
          <w:bCs/>
          <w:lang w:val="en"/>
        </w:rPr>
      </w:pPr>
      <w:r w:rsidRPr="00A01C3B">
        <w:rPr>
          <w:bCs/>
          <w:lang w:val="en"/>
        </w:rPr>
        <w:t xml:space="preserve">The use of the </w:t>
      </w:r>
      <w:r w:rsidRPr="00A01C3B">
        <w:rPr>
          <w:bCs/>
        </w:rPr>
        <w:t>physical approximations of the mechanics of continua</w:t>
      </w:r>
      <w:r w:rsidRPr="00A01C3B">
        <w:rPr>
          <w:bCs/>
          <w:lang w:val="en"/>
        </w:rPr>
        <w:t xml:space="preserve"> for the interphase mass transfer process modeling in industrial column apparatuses is possible if the mass appearance (disappearance) of the reagents on the interphase surfaces of the elementary physical volumes (as a result of the heterogeneous reactions) are replaced by the mass appearance (disappearance) of the reagents in the same elementary physical volumes (as a result of the equivalent homogenous reactions), i.e. the surface mass sources (sinks), caused by absorption, adsorption or catalytic reactions must be replaced with equivalent volume mass sources (sinks).</w:t>
      </w:r>
    </w:p>
    <w:p w:rsidR="00A01C3B" w:rsidRPr="00A01C3B" w:rsidRDefault="00A01C3B" w:rsidP="00A01C3B">
      <w:pPr>
        <w:pStyle w:val="BodyText"/>
        <w:spacing w:before="90" w:line="280" w:lineRule="auto"/>
        <w:ind w:left="100"/>
        <w:rPr>
          <w:bCs/>
          <w:lang w:val="en"/>
        </w:rPr>
      </w:pPr>
      <w:r w:rsidRPr="00A01C3B">
        <w:rPr>
          <w:bCs/>
          <w:lang w:val="en"/>
        </w:rPr>
        <w:t xml:space="preserve">The solution of this problem is related with the creation of new type of convection-diffusion and average-concentration models (Chr. Boyadjiev, M. Doichinova, B. Boyadjiev, P. Popova-Krumova, </w:t>
      </w:r>
      <w:r w:rsidRPr="00A01C3B">
        <w:rPr>
          <w:bCs/>
          <w:iCs/>
          <w:lang w:val="en"/>
        </w:rPr>
        <w:t>Modeling of Column Apparatus Processes (Second Edition), Springer-Verlag, Berlin Heidelberg, 2018)</w:t>
      </w:r>
      <w:r w:rsidRPr="00A01C3B">
        <w:rPr>
          <w:bCs/>
          <w:lang w:val="en"/>
        </w:rPr>
        <w:t>.</w:t>
      </w:r>
    </w:p>
    <w:p w:rsidR="00A01C3B" w:rsidRPr="00A01C3B" w:rsidRDefault="00A01C3B" w:rsidP="00A01C3B">
      <w:pPr>
        <w:pStyle w:val="BodyText"/>
        <w:spacing w:before="90" w:line="280" w:lineRule="auto"/>
        <w:ind w:left="100"/>
        <w:rPr>
          <w:bCs/>
          <w:lang w:val="en"/>
        </w:rPr>
      </w:pPr>
      <w:r w:rsidRPr="00A01C3B">
        <w:rPr>
          <w:bCs/>
        </w:rPr>
        <w:t xml:space="preserve">The convection-diffusion models permit the qualitative analysis of the processes only, because the velocity distribution in the column is unknown. On this base is possible to be obtained the role of the different physical effect in the process and to </w:t>
      </w:r>
      <w:r w:rsidRPr="00A01C3B">
        <w:rPr>
          <w:bCs/>
          <w:lang w:val="en"/>
        </w:rPr>
        <w:t>reject those processes, whose relative influence is less than 1%, i.e. to be made process mechanism identification.</w:t>
      </w:r>
    </w:p>
    <w:p w:rsidR="007D3A55" w:rsidRPr="007D3A55" w:rsidRDefault="00A01C3B" w:rsidP="00A01C3B">
      <w:pPr>
        <w:pStyle w:val="BodyText"/>
        <w:spacing w:before="90" w:line="280" w:lineRule="auto"/>
        <w:ind w:left="100"/>
        <w:jc w:val="both"/>
        <w:rPr>
          <w:color w:val="BF5A14"/>
        </w:rPr>
      </w:pPr>
      <w:r w:rsidRPr="00A01C3B">
        <w:rPr>
          <w:bCs/>
        </w:rPr>
        <w:t xml:space="preserve">The average-concentration models are obtained from the convection-diffusion models, where average velocities and concentrations are introduced. The velocity </w:t>
      </w:r>
      <w:r w:rsidRPr="00A01C3B">
        <w:rPr>
          <w:bCs/>
          <w:lang w:val="en"/>
        </w:rPr>
        <w:t>distributions are introduced by the parameters in the model, which must to be determined experimentally.</w:t>
      </w: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A01C3B" w:rsidRPr="00A01C3B" w:rsidRDefault="00A01C3B" w:rsidP="00A01C3B">
      <w:pPr>
        <w:tabs>
          <w:tab w:val="left" w:pos="384"/>
        </w:tabs>
        <w:ind w:right="117"/>
        <w:rPr>
          <w:rFonts w:ascii="Calibri" w:eastAsia="Calibri" w:hAnsi="Calibri" w:cs="Calibri"/>
          <w:bCs/>
          <w:iCs/>
          <w:sz w:val="18"/>
          <w:lang w:val="en-AU"/>
        </w:rPr>
      </w:pPr>
      <w:r w:rsidRPr="00A01C3B">
        <w:rPr>
          <w:rFonts w:ascii="Calibri" w:eastAsia="Calibri" w:hAnsi="Calibri" w:cs="Calibri"/>
          <w:bCs/>
          <w:iCs/>
          <w:sz w:val="18"/>
          <w:lang w:val="en"/>
        </w:rPr>
        <w:t xml:space="preserve">1. </w:t>
      </w:r>
      <w:r w:rsidRPr="00A01C3B">
        <w:rPr>
          <w:rFonts w:ascii="Calibri" w:eastAsia="Calibri" w:hAnsi="Calibri" w:cs="Calibri"/>
          <w:bCs/>
          <w:iCs/>
          <w:sz w:val="18"/>
          <w:lang w:val="en-AU"/>
        </w:rPr>
        <w:t xml:space="preserve">Chr. Boyadjiev, Theoretical Chemical Engineering. </w:t>
      </w:r>
      <w:proofErr w:type="gramStart"/>
      <w:r w:rsidRPr="00A01C3B">
        <w:rPr>
          <w:rFonts w:ascii="Calibri" w:eastAsia="Calibri" w:hAnsi="Calibri" w:cs="Calibri"/>
          <w:bCs/>
          <w:iCs/>
          <w:sz w:val="18"/>
          <w:lang w:val="en-AU"/>
        </w:rPr>
        <w:t>Modeling and simulation, Springer-Verlag, Berlin Heidelberg, 2010.</w:t>
      </w:r>
      <w:proofErr w:type="gramEnd"/>
    </w:p>
    <w:p w:rsidR="00A01C3B" w:rsidRPr="00A01C3B" w:rsidRDefault="00A01C3B" w:rsidP="00A01C3B">
      <w:pPr>
        <w:tabs>
          <w:tab w:val="left" w:pos="384"/>
        </w:tabs>
        <w:ind w:right="117"/>
        <w:rPr>
          <w:rFonts w:ascii="Calibri" w:eastAsia="Calibri" w:hAnsi="Calibri" w:cs="Calibri"/>
          <w:bCs/>
          <w:iCs/>
          <w:sz w:val="18"/>
          <w:lang w:val="en"/>
        </w:rPr>
      </w:pPr>
      <w:r w:rsidRPr="00A01C3B">
        <w:rPr>
          <w:rFonts w:ascii="Calibri" w:eastAsia="Calibri" w:hAnsi="Calibri" w:cs="Calibri"/>
          <w:bCs/>
          <w:iCs/>
          <w:sz w:val="18"/>
        </w:rPr>
        <w:t xml:space="preserve">2. </w:t>
      </w:r>
      <w:r w:rsidRPr="00A01C3B">
        <w:rPr>
          <w:rFonts w:ascii="Calibri" w:eastAsia="Calibri" w:hAnsi="Calibri" w:cs="Calibri"/>
          <w:bCs/>
          <w:iCs/>
          <w:sz w:val="18"/>
          <w:lang w:val="en"/>
        </w:rPr>
        <w:t>Chr. Boyadjiev, M. Doichinova, B. Boyadjiev, P. Popova-Krumova, Modeling of Column Apparatus Processes, Springer-Verlag, Berlin Heidelberg, 2016.</w:t>
      </w:r>
    </w:p>
    <w:p w:rsidR="00A01C3B" w:rsidRPr="00A01C3B" w:rsidRDefault="00A01C3B" w:rsidP="00A01C3B">
      <w:pPr>
        <w:tabs>
          <w:tab w:val="left" w:pos="384"/>
        </w:tabs>
        <w:ind w:right="117"/>
        <w:rPr>
          <w:rFonts w:ascii="Calibri" w:eastAsia="Calibri" w:hAnsi="Calibri" w:cs="Calibri"/>
          <w:bCs/>
          <w:sz w:val="18"/>
        </w:rPr>
      </w:pPr>
      <w:proofErr w:type="gramStart"/>
      <w:r w:rsidRPr="00A01C3B">
        <w:rPr>
          <w:rFonts w:ascii="Calibri" w:eastAsia="Calibri" w:hAnsi="Calibri" w:cs="Calibri"/>
          <w:bCs/>
          <w:sz w:val="18"/>
        </w:rPr>
        <w:t>3. B. Boyadjiev, Chr. Boyadjiev, New Models of Industrial Column Chemical Reactors, Bulgarian Chemical Communications, 49(3), 706-710, 2017.</w:t>
      </w:r>
      <w:proofErr w:type="gramEnd"/>
    </w:p>
    <w:p w:rsidR="00A01C3B" w:rsidRPr="00A01C3B" w:rsidRDefault="00A01C3B" w:rsidP="00A01C3B">
      <w:pPr>
        <w:tabs>
          <w:tab w:val="left" w:pos="384"/>
        </w:tabs>
        <w:ind w:right="117"/>
        <w:rPr>
          <w:rFonts w:ascii="Calibri" w:eastAsia="Calibri" w:hAnsi="Calibri" w:cs="Calibri"/>
          <w:bCs/>
          <w:sz w:val="18"/>
        </w:rPr>
      </w:pPr>
      <w:r w:rsidRPr="00A01C3B">
        <w:rPr>
          <w:rFonts w:ascii="Calibri" w:eastAsia="Calibri" w:hAnsi="Calibri" w:cs="Calibri"/>
          <w:bCs/>
          <w:sz w:val="18"/>
        </w:rPr>
        <w:t>4. B. Boyadjiev, Chr. Boyadjiev, New Models of Industrial Column Absorbers. 1. Co-current absorption processes, Bulgarian Chemical Communications, 49(3), 711-719, 2017.</w:t>
      </w:r>
    </w:p>
    <w:p w:rsidR="00A01C3B" w:rsidRPr="00A01C3B" w:rsidRDefault="00A01C3B" w:rsidP="00A01C3B">
      <w:pPr>
        <w:tabs>
          <w:tab w:val="left" w:pos="384"/>
        </w:tabs>
        <w:ind w:right="117"/>
        <w:rPr>
          <w:rFonts w:ascii="Calibri" w:eastAsia="Calibri" w:hAnsi="Calibri" w:cs="Calibri"/>
          <w:bCs/>
          <w:sz w:val="18"/>
        </w:rPr>
      </w:pPr>
      <w:r w:rsidRPr="00A01C3B">
        <w:rPr>
          <w:rFonts w:ascii="Calibri" w:eastAsia="Calibri" w:hAnsi="Calibri" w:cs="Calibri"/>
          <w:bCs/>
          <w:sz w:val="18"/>
        </w:rPr>
        <w:t>5. Boyadjiev, Chr. Boyadjiev, New Models of Industrial Column Absorbers. 2. Counter-current absorption processes, Bulgarian Chemical Communications, 49(3), 720-728, 2017.</w:t>
      </w:r>
    </w:p>
    <w:p w:rsidR="00A01C3B" w:rsidRPr="00A01C3B" w:rsidRDefault="00A01C3B" w:rsidP="00A01C3B">
      <w:pPr>
        <w:tabs>
          <w:tab w:val="left" w:pos="384"/>
        </w:tabs>
        <w:ind w:right="117"/>
        <w:rPr>
          <w:rFonts w:ascii="Calibri" w:eastAsia="Calibri" w:hAnsi="Calibri" w:cs="Calibri"/>
          <w:bCs/>
          <w:sz w:val="18"/>
        </w:rPr>
      </w:pPr>
      <w:r w:rsidRPr="00A01C3B">
        <w:rPr>
          <w:rFonts w:ascii="Calibri" w:eastAsia="Calibri" w:hAnsi="Calibri" w:cs="Calibri"/>
          <w:bCs/>
          <w:sz w:val="18"/>
        </w:rPr>
        <w:t>6. B. Boyadjiev, Chr. Boyadjiev, New Models of Industrial Column Adsorbers, J. Eng. Thermophysics, 27(1), 1-16, 2018.</w:t>
      </w:r>
    </w:p>
    <w:p w:rsidR="00AE3E37" w:rsidRPr="008756E6" w:rsidRDefault="00A01C3B" w:rsidP="00A01C3B">
      <w:pPr>
        <w:tabs>
          <w:tab w:val="left" w:pos="384"/>
        </w:tabs>
        <w:ind w:right="117"/>
      </w:pPr>
      <w:r w:rsidRPr="00A01C3B">
        <w:rPr>
          <w:rFonts w:ascii="Calibri" w:eastAsia="Calibri" w:hAnsi="Calibri" w:cs="Calibri"/>
          <w:bCs/>
          <w:sz w:val="18"/>
        </w:rPr>
        <w:t xml:space="preserve">7. </w:t>
      </w:r>
      <w:r w:rsidRPr="00A01C3B">
        <w:rPr>
          <w:rFonts w:ascii="Calibri" w:eastAsia="Calibri" w:hAnsi="Calibri" w:cs="Calibri"/>
          <w:bCs/>
          <w:iCs/>
          <w:sz w:val="18"/>
          <w:lang w:val="en"/>
        </w:rPr>
        <w:t>Chr. Boyadjiev, M. Doichinova, B. Boyadjiev, P. Popova-Krumova, Modeling of Column Apparatus Processes (Second Edition), Springer-Verlag, Berlin Heidelberg, 2018.</w:t>
      </w: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01C3B">
        <w:rPr>
          <w:noProof/>
        </w:rPr>
        <w:drawing>
          <wp:inline distT="0" distB="0" distL="0" distR="0">
            <wp:extent cx="989965" cy="943610"/>
            <wp:effectExtent l="0" t="0" r="63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89965" cy="943610"/>
                    </a:xfrm>
                    <a:prstGeom prst="rect">
                      <a:avLst/>
                    </a:prstGeom>
                    <a:noFill/>
                  </pic:spPr>
                </pic:pic>
              </a:graphicData>
            </a:graphic>
          </wp:inline>
        </w:drawing>
      </w:r>
      <w:r w:rsidR="00A9710C">
        <w:rPr>
          <w:rFonts w:ascii="Arial"/>
          <w:color w:val="BF5A14"/>
        </w:rPr>
        <w:t>Biography</w:t>
      </w:r>
      <w:r w:rsidR="00404E5B">
        <w:rPr>
          <w:rFonts w:ascii="Arial"/>
          <w:color w:val="BF5A14"/>
        </w:rPr>
        <w:t xml:space="preserve"> (150 word limit)</w:t>
      </w:r>
    </w:p>
    <w:p w:rsidR="00A01C3B" w:rsidRPr="00A01C3B" w:rsidRDefault="00A01C3B" w:rsidP="00A01C3B">
      <w:pPr>
        <w:spacing w:before="41" w:line="154" w:lineRule="exact"/>
        <w:ind w:left="213" w:right="231"/>
        <w:jc w:val="both"/>
        <w:rPr>
          <w:rFonts w:ascii="Arial"/>
          <w:sz w:val="14"/>
          <w:lang w:val="en"/>
        </w:rPr>
      </w:pPr>
      <w:proofErr w:type="gramStart"/>
      <w:r w:rsidRPr="00A01C3B">
        <w:rPr>
          <w:rFonts w:ascii="Arial"/>
          <w:sz w:val="14"/>
          <w:lang w:val="en-GB"/>
        </w:rPr>
        <w:t xml:space="preserve">PhD (1968) </w:t>
      </w:r>
      <w:r w:rsidRPr="00A01C3B">
        <w:rPr>
          <w:rFonts w:ascii="Arial"/>
          <w:sz w:val="14"/>
          <w:lang w:val="en-GB"/>
        </w:rPr>
        <w:t>–</w:t>
      </w:r>
      <w:r w:rsidRPr="00A01C3B">
        <w:rPr>
          <w:rFonts w:ascii="Arial"/>
          <w:sz w:val="14"/>
          <w:lang w:val="en-GB"/>
        </w:rPr>
        <w:t xml:space="preserve"> USSR, Moscow </w:t>
      </w:r>
      <w:r w:rsidRPr="00A01C3B">
        <w:rPr>
          <w:rFonts w:ascii="Arial"/>
          <w:sz w:val="14"/>
          <w:lang w:val="en"/>
        </w:rPr>
        <w:t>Institute of Chemical Mechanical Engineering.</w:t>
      </w:r>
      <w:proofErr w:type="gramEnd"/>
    </w:p>
    <w:p w:rsidR="00A01C3B" w:rsidRPr="00A01C3B" w:rsidRDefault="00A01C3B" w:rsidP="00A01C3B">
      <w:pPr>
        <w:spacing w:before="41" w:line="154" w:lineRule="exact"/>
        <w:ind w:left="213" w:right="231"/>
        <w:jc w:val="both"/>
        <w:rPr>
          <w:rFonts w:ascii="Arial"/>
          <w:sz w:val="14"/>
          <w:lang w:val="it-IT"/>
        </w:rPr>
      </w:pPr>
      <w:r w:rsidRPr="00A01C3B">
        <w:rPr>
          <w:rFonts w:ascii="Arial"/>
          <w:sz w:val="14"/>
          <w:lang w:val="en-GB"/>
        </w:rPr>
        <w:t xml:space="preserve"> </w:t>
      </w:r>
      <w:proofErr w:type="spellStart"/>
      <w:r w:rsidRPr="00A01C3B">
        <w:rPr>
          <w:rFonts w:ascii="Arial"/>
          <w:sz w:val="14"/>
          <w:lang w:val="en-GB"/>
        </w:rPr>
        <w:t>Dr.Sci</w:t>
      </w:r>
      <w:proofErr w:type="spellEnd"/>
      <w:r w:rsidRPr="00A01C3B">
        <w:rPr>
          <w:rFonts w:ascii="Arial"/>
          <w:sz w:val="14"/>
          <w:lang w:val="en-GB"/>
        </w:rPr>
        <w:t>. (1978), Doctor of Technical Sciences of Higher Institute of Chemical Technology (Sofia, Bulgaria).</w:t>
      </w:r>
    </w:p>
    <w:p w:rsidR="00A01C3B" w:rsidRPr="00A01C3B" w:rsidRDefault="00A01C3B" w:rsidP="00A01C3B">
      <w:pPr>
        <w:spacing w:before="41" w:line="154" w:lineRule="exact"/>
        <w:ind w:left="213" w:right="231"/>
        <w:jc w:val="both"/>
        <w:rPr>
          <w:rFonts w:ascii="Arial"/>
          <w:sz w:val="14"/>
          <w:lang w:val="en-GB"/>
        </w:rPr>
      </w:pPr>
      <w:proofErr w:type="gramStart"/>
      <w:r w:rsidRPr="00A01C3B">
        <w:rPr>
          <w:rFonts w:ascii="Arial"/>
          <w:sz w:val="14"/>
          <w:lang w:val="en-GB"/>
        </w:rPr>
        <w:t xml:space="preserve">Associate Professor </w:t>
      </w:r>
      <w:r w:rsidRPr="00A01C3B">
        <w:rPr>
          <w:rFonts w:ascii="Arial"/>
          <w:sz w:val="14"/>
          <w:lang w:val="en-GB"/>
        </w:rPr>
        <w:t>–</w:t>
      </w:r>
      <w:r w:rsidRPr="00A01C3B">
        <w:rPr>
          <w:rFonts w:ascii="Arial"/>
          <w:sz w:val="14"/>
          <w:lang w:val="en-GB"/>
        </w:rPr>
        <w:t xml:space="preserve"> 1971.</w:t>
      </w:r>
      <w:proofErr w:type="gramEnd"/>
      <w:r w:rsidRPr="00A01C3B">
        <w:rPr>
          <w:rFonts w:ascii="Arial"/>
          <w:sz w:val="14"/>
          <w:lang w:val="en-GB"/>
        </w:rPr>
        <w:t xml:space="preserve"> </w:t>
      </w:r>
      <w:proofErr w:type="gramStart"/>
      <w:r w:rsidRPr="00A01C3B">
        <w:rPr>
          <w:rFonts w:ascii="Arial"/>
          <w:sz w:val="14"/>
          <w:lang w:val="en-GB"/>
        </w:rPr>
        <w:t>Professor in Chemical Engineering, since 1981.</w:t>
      </w:r>
      <w:proofErr w:type="gramEnd"/>
    </w:p>
    <w:p w:rsidR="00A01C3B" w:rsidRPr="00A01C3B" w:rsidRDefault="00A01C3B" w:rsidP="00A01C3B">
      <w:pPr>
        <w:spacing w:before="41" w:line="154" w:lineRule="exact"/>
        <w:ind w:left="213" w:right="231"/>
        <w:jc w:val="both"/>
        <w:rPr>
          <w:rFonts w:ascii="Arial"/>
          <w:sz w:val="14"/>
        </w:rPr>
      </w:pPr>
      <w:proofErr w:type="gramStart"/>
      <w:r w:rsidRPr="00A01C3B">
        <w:rPr>
          <w:rFonts w:ascii="Arial"/>
          <w:sz w:val="14"/>
        </w:rPr>
        <w:t xml:space="preserve">Editor-in-Chief of the </w:t>
      </w:r>
      <w:r w:rsidRPr="00A01C3B">
        <w:rPr>
          <w:rFonts w:ascii="Arial"/>
          <w:sz w:val="14"/>
        </w:rPr>
        <w:t>“</w:t>
      </w:r>
      <w:r w:rsidRPr="00A01C3B">
        <w:rPr>
          <w:rFonts w:ascii="Arial"/>
          <w:sz w:val="14"/>
        </w:rPr>
        <w:t>Transactions of Academenergo</w:t>
      </w:r>
      <w:r w:rsidRPr="00A01C3B">
        <w:rPr>
          <w:rFonts w:ascii="Arial"/>
          <w:sz w:val="14"/>
        </w:rPr>
        <w:t>”</w:t>
      </w:r>
      <w:r w:rsidRPr="00A01C3B">
        <w:rPr>
          <w:rFonts w:ascii="Arial"/>
          <w:sz w:val="14"/>
        </w:rPr>
        <w:t xml:space="preserve"> (Scientific journal of the </w:t>
      </w:r>
      <w:smartTag w:uri="urn:schemas-microsoft-com:office:smarttags" w:element="place">
        <w:smartTag w:uri="urn:schemas-microsoft-com:office:smarttags" w:element="PlaceName">
          <w:r w:rsidRPr="00A01C3B">
            <w:rPr>
              <w:rFonts w:ascii="Arial"/>
              <w:sz w:val="14"/>
            </w:rPr>
            <w:t>Russian</w:t>
          </w:r>
        </w:smartTag>
        <w:r w:rsidRPr="00A01C3B">
          <w:rPr>
            <w:rFonts w:ascii="Arial"/>
            <w:sz w:val="14"/>
          </w:rPr>
          <w:t xml:space="preserve"> </w:t>
        </w:r>
        <w:smartTag w:uri="urn:schemas-microsoft-com:office:smarttags" w:element="PlaceType">
          <w:r w:rsidRPr="00A01C3B">
            <w:rPr>
              <w:rFonts w:ascii="Arial"/>
              <w:sz w:val="14"/>
            </w:rPr>
            <w:t>Academy</w:t>
          </w:r>
        </w:smartTag>
      </w:smartTag>
      <w:r w:rsidRPr="00A01C3B">
        <w:rPr>
          <w:rFonts w:ascii="Arial"/>
          <w:sz w:val="14"/>
        </w:rPr>
        <w:t xml:space="preserve"> of Science).</w:t>
      </w:r>
      <w:proofErr w:type="gramEnd"/>
    </w:p>
    <w:p w:rsidR="00A01C3B" w:rsidRPr="00A01C3B" w:rsidRDefault="00A01C3B" w:rsidP="00A01C3B">
      <w:pPr>
        <w:spacing w:before="41" w:line="154" w:lineRule="exact"/>
        <w:ind w:left="213" w:right="231"/>
        <w:jc w:val="both"/>
        <w:rPr>
          <w:rFonts w:ascii="Arial"/>
          <w:sz w:val="14"/>
        </w:rPr>
      </w:pPr>
      <w:proofErr w:type="gramStart"/>
      <w:r w:rsidRPr="00A01C3B">
        <w:rPr>
          <w:rFonts w:ascii="Arial"/>
          <w:sz w:val="14"/>
          <w:lang w:val="en-GB"/>
        </w:rPr>
        <w:t xml:space="preserve">Chairman of </w:t>
      </w:r>
      <w:r w:rsidRPr="00A01C3B">
        <w:rPr>
          <w:rFonts w:ascii="Arial"/>
          <w:sz w:val="14"/>
        </w:rPr>
        <w:t xml:space="preserve">the </w:t>
      </w:r>
      <w:r w:rsidRPr="00A01C3B">
        <w:rPr>
          <w:rFonts w:ascii="Arial"/>
          <w:sz w:val="14"/>
          <w:lang w:val="en-GB"/>
        </w:rPr>
        <w:t>Scientific Council of the International Scientific Centre for Power and Chemical Engineering Problems (</w:t>
      </w:r>
      <w:hyperlink r:id="rId11" w:history="1">
        <w:r w:rsidRPr="00A01C3B">
          <w:rPr>
            <w:rStyle w:val="Hyperlink"/>
            <w:rFonts w:ascii="Arial"/>
            <w:sz w:val="14"/>
            <w:lang w:val="en-GB"/>
          </w:rPr>
          <w:t>http://www.int-sci-center.bas.bg</w:t>
        </w:r>
      </w:hyperlink>
      <w:r w:rsidRPr="00A01C3B">
        <w:rPr>
          <w:rFonts w:ascii="Arial"/>
          <w:sz w:val="14"/>
          <w:lang w:val="en-GB"/>
        </w:rPr>
        <w:t>).</w:t>
      </w:r>
      <w:proofErr w:type="gramEnd"/>
    </w:p>
    <w:p w:rsidR="00A01C3B" w:rsidRPr="00A01C3B" w:rsidRDefault="00A01C3B" w:rsidP="00A01C3B">
      <w:pPr>
        <w:spacing w:before="41" w:line="154" w:lineRule="exact"/>
        <w:ind w:left="213" w:right="231"/>
        <w:jc w:val="both"/>
        <w:rPr>
          <w:rFonts w:ascii="Arial"/>
          <w:sz w:val="14"/>
        </w:rPr>
      </w:pPr>
      <w:proofErr w:type="gramStart"/>
      <w:r w:rsidRPr="00A01C3B">
        <w:rPr>
          <w:rFonts w:ascii="Arial"/>
          <w:sz w:val="14"/>
          <w:lang w:val="en-GB"/>
        </w:rPr>
        <w:t xml:space="preserve">Chairman of the Organizing Committee of the Workshop on </w:t>
      </w:r>
      <w:r w:rsidRPr="00A01C3B">
        <w:rPr>
          <w:rFonts w:ascii="Arial"/>
          <w:sz w:val="14"/>
          <w:lang w:val="en-GB"/>
        </w:rPr>
        <w:t>“</w:t>
      </w:r>
      <w:r w:rsidRPr="00A01C3B">
        <w:rPr>
          <w:rFonts w:ascii="Arial"/>
          <w:sz w:val="14"/>
          <w:lang w:val="en-GB"/>
        </w:rPr>
        <w:t>Transport Phenomena in Two-Phase Flows</w:t>
      </w:r>
      <w:r w:rsidRPr="00A01C3B">
        <w:rPr>
          <w:rFonts w:ascii="Arial"/>
          <w:sz w:val="14"/>
          <w:lang w:val="en-GB"/>
        </w:rPr>
        <w:t>”</w:t>
      </w:r>
      <w:r w:rsidRPr="00A01C3B">
        <w:rPr>
          <w:rFonts w:ascii="Arial"/>
          <w:sz w:val="14"/>
          <w:lang w:val="en-GB"/>
        </w:rPr>
        <w:t xml:space="preserve"> (No.1 - 15)</w:t>
      </w:r>
      <w:r w:rsidRPr="00A01C3B">
        <w:rPr>
          <w:rFonts w:ascii="Arial"/>
          <w:sz w:val="14"/>
        </w:rPr>
        <w:t>.</w:t>
      </w:r>
      <w:proofErr w:type="gramEnd"/>
    </w:p>
    <w:p w:rsidR="00A01C3B" w:rsidRPr="00A01C3B" w:rsidRDefault="00A01C3B" w:rsidP="00A01C3B">
      <w:pPr>
        <w:spacing w:before="41" w:line="154" w:lineRule="exact"/>
        <w:ind w:left="213" w:right="231"/>
        <w:jc w:val="both"/>
        <w:rPr>
          <w:rFonts w:ascii="Arial"/>
          <w:bCs/>
          <w:sz w:val="14"/>
        </w:rPr>
      </w:pPr>
      <w:r w:rsidRPr="00A01C3B">
        <w:rPr>
          <w:rFonts w:ascii="Arial"/>
          <w:bCs/>
          <w:sz w:val="14"/>
          <w:lang w:val="en-GB"/>
        </w:rPr>
        <w:t>Specializations: 1963, USSR, Moscow, Supervisor-</w:t>
      </w:r>
      <w:proofErr w:type="spellStart"/>
      <w:r w:rsidRPr="00A01C3B">
        <w:rPr>
          <w:rFonts w:ascii="Arial"/>
          <w:bCs/>
          <w:sz w:val="14"/>
          <w:lang w:val="en-GB"/>
        </w:rPr>
        <w:t>Prof.</w:t>
      </w:r>
      <w:proofErr w:type="spellEnd"/>
      <w:r w:rsidRPr="00A01C3B">
        <w:rPr>
          <w:rFonts w:ascii="Arial"/>
          <w:bCs/>
          <w:sz w:val="14"/>
          <w:lang w:val="en-GB"/>
        </w:rPr>
        <w:t xml:space="preserve"> V.G. </w:t>
      </w:r>
      <w:proofErr w:type="spellStart"/>
      <w:r w:rsidRPr="00A01C3B">
        <w:rPr>
          <w:rFonts w:ascii="Arial"/>
          <w:bCs/>
          <w:sz w:val="14"/>
          <w:lang w:val="en-GB"/>
        </w:rPr>
        <w:t>Levich</w:t>
      </w:r>
      <w:proofErr w:type="spellEnd"/>
      <w:r w:rsidRPr="00A01C3B">
        <w:rPr>
          <w:rFonts w:ascii="Arial"/>
          <w:bCs/>
          <w:sz w:val="14"/>
          <w:lang w:val="en-GB"/>
        </w:rPr>
        <w:t>, 4 months; 1968, USSR, Novosibirsk, Supervisor-</w:t>
      </w:r>
      <w:proofErr w:type="spellStart"/>
      <w:r w:rsidRPr="00A01C3B">
        <w:rPr>
          <w:rFonts w:ascii="Arial"/>
          <w:bCs/>
          <w:sz w:val="14"/>
          <w:lang w:val="en-GB"/>
        </w:rPr>
        <w:t>Prof.</w:t>
      </w:r>
      <w:proofErr w:type="spellEnd"/>
      <w:r w:rsidRPr="00A01C3B">
        <w:rPr>
          <w:rFonts w:ascii="Arial"/>
          <w:bCs/>
          <w:sz w:val="14"/>
          <w:lang w:val="en-GB"/>
        </w:rPr>
        <w:t xml:space="preserve"> M.G. </w:t>
      </w:r>
      <w:proofErr w:type="spellStart"/>
      <w:r w:rsidRPr="00A01C3B">
        <w:rPr>
          <w:rFonts w:ascii="Arial"/>
          <w:bCs/>
          <w:sz w:val="14"/>
          <w:lang w:val="en-GB"/>
        </w:rPr>
        <w:t>Slinko</w:t>
      </w:r>
      <w:proofErr w:type="spellEnd"/>
      <w:r w:rsidRPr="00A01C3B">
        <w:rPr>
          <w:rFonts w:ascii="Arial"/>
          <w:bCs/>
          <w:sz w:val="14"/>
          <w:lang w:val="en-GB"/>
        </w:rPr>
        <w:t>, 4 month.</w:t>
      </w:r>
    </w:p>
    <w:p w:rsidR="00A01C3B" w:rsidRPr="00A01C3B" w:rsidRDefault="00A01C3B" w:rsidP="00A01C3B">
      <w:pPr>
        <w:spacing w:before="41" w:line="154" w:lineRule="exact"/>
        <w:ind w:left="213" w:right="231"/>
        <w:jc w:val="both"/>
        <w:rPr>
          <w:rFonts w:ascii="Arial"/>
          <w:sz w:val="14"/>
        </w:rPr>
      </w:pPr>
      <w:r w:rsidRPr="00A01C3B">
        <w:rPr>
          <w:rFonts w:ascii="Arial"/>
          <w:sz w:val="14"/>
        </w:rPr>
        <w:t xml:space="preserve">SCINTIFIC PAPERS </w:t>
      </w:r>
      <w:r w:rsidRPr="00A01C3B">
        <w:rPr>
          <w:rFonts w:ascii="Arial"/>
          <w:sz w:val="14"/>
        </w:rPr>
        <w:t>–</w:t>
      </w:r>
      <w:r w:rsidRPr="00A01C3B">
        <w:rPr>
          <w:rFonts w:ascii="Arial"/>
          <w:sz w:val="14"/>
        </w:rPr>
        <w:t xml:space="preserve"> 218: </w:t>
      </w:r>
    </w:p>
    <w:p w:rsidR="00A01C3B" w:rsidRPr="00A01C3B" w:rsidRDefault="00A01C3B" w:rsidP="00A01C3B">
      <w:pPr>
        <w:spacing w:before="41" w:line="154" w:lineRule="exact"/>
        <w:ind w:left="213" w:right="231"/>
        <w:jc w:val="both"/>
        <w:rPr>
          <w:rFonts w:ascii="Arial"/>
          <w:sz w:val="14"/>
        </w:rPr>
      </w:pPr>
      <w:hyperlink r:id="rId12" w:history="1">
        <w:r w:rsidRPr="00A01C3B">
          <w:rPr>
            <w:rStyle w:val="Hyperlink"/>
            <w:rFonts w:ascii="Arial"/>
            <w:sz w:val="14"/>
          </w:rPr>
          <w:t>http://www.iche.bas.bg/WWW_IChE_EN/LABORATORY_IChE/Process_Systems_Engineering_Laboratory/STAFF_Laboratory/CV_Christo_Boyadjiev/List%20of%20</w:t>
        </w:r>
        <w:r w:rsidRPr="00A01C3B">
          <w:rPr>
            <w:rStyle w:val="Hyperlink"/>
            <w:rFonts w:ascii="Arial"/>
            <w:sz w:val="14"/>
          </w:rPr>
          <w:lastRenderedPageBreak/>
          <w:t>publications.pdf</w:t>
        </w:r>
      </w:hyperlink>
      <w:r w:rsidRPr="00A01C3B">
        <w:rPr>
          <w:rFonts w:ascii="Arial"/>
          <w:sz w:val="14"/>
        </w:rPr>
        <w:t>.</w:t>
      </w:r>
    </w:p>
    <w:p w:rsidR="00A01C3B" w:rsidRPr="00A01C3B" w:rsidRDefault="00A01C3B" w:rsidP="00A01C3B">
      <w:pPr>
        <w:spacing w:before="41" w:line="154" w:lineRule="exact"/>
        <w:ind w:left="213" w:right="231"/>
        <w:jc w:val="both"/>
        <w:rPr>
          <w:rFonts w:ascii="Arial"/>
          <w:bCs/>
          <w:sz w:val="14"/>
        </w:rPr>
      </w:pPr>
      <w:r w:rsidRPr="00A01C3B">
        <w:rPr>
          <w:rFonts w:ascii="Arial"/>
          <w:sz w:val="14"/>
          <w:lang w:val="en-GB"/>
        </w:rPr>
        <w:t xml:space="preserve">MONOGRAPHIES </w:t>
      </w:r>
      <w:r w:rsidRPr="00A01C3B">
        <w:rPr>
          <w:rFonts w:ascii="Arial"/>
          <w:sz w:val="14"/>
          <w:lang w:val="en-GB"/>
        </w:rPr>
        <w:t>–</w:t>
      </w:r>
      <w:r w:rsidRPr="00A01C3B">
        <w:rPr>
          <w:rFonts w:ascii="Arial"/>
          <w:sz w:val="14"/>
          <w:lang w:val="en-GB"/>
        </w:rPr>
        <w:t xml:space="preserve"> 9: </w:t>
      </w:r>
      <w:r w:rsidRPr="00A01C3B">
        <w:rPr>
          <w:rFonts w:ascii="Arial"/>
          <w:bCs/>
          <w:sz w:val="14"/>
        </w:rPr>
        <w:t>(www.iche.bas.bg/Books_BG.htm).</w:t>
      </w: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3" w:history="1">
        <w:r w:rsidR="00A01C3B">
          <w:rPr>
            <w:rStyle w:val="Hyperlink"/>
            <w:rFonts w:ascii="Arial"/>
            <w:sz w:val="14"/>
          </w:rPr>
          <w:t>chr.boyadjiev@gmail.com</w:t>
        </w:r>
        <w:bookmarkStart w:id="0" w:name="_GoBack"/>
        <w:bookmarkEnd w:id="0"/>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0075" w:rsidRDefault="00050075">
      <w:r>
        <w:separator/>
      </w:r>
    </w:p>
  </w:endnote>
  <w:endnote w:type="continuationSeparator" w:id="0">
    <w:p w:rsidR="00050075" w:rsidRDefault="00050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0075" w:rsidRDefault="00050075">
      <w:r>
        <w:separator/>
      </w:r>
    </w:p>
  </w:footnote>
  <w:footnote w:type="continuationSeparator" w:id="0">
    <w:p w:rsidR="00050075" w:rsidRDefault="000500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0075"/>
    <w:rsid w:val="000914F7"/>
    <w:rsid w:val="000E2911"/>
    <w:rsid w:val="001263DF"/>
    <w:rsid w:val="001E752F"/>
    <w:rsid w:val="0023086C"/>
    <w:rsid w:val="00292ED9"/>
    <w:rsid w:val="00404E5B"/>
    <w:rsid w:val="00414F7B"/>
    <w:rsid w:val="004355DC"/>
    <w:rsid w:val="004749B4"/>
    <w:rsid w:val="00494130"/>
    <w:rsid w:val="004F3523"/>
    <w:rsid w:val="005973B9"/>
    <w:rsid w:val="005B3A56"/>
    <w:rsid w:val="006060CE"/>
    <w:rsid w:val="0063497F"/>
    <w:rsid w:val="00770E30"/>
    <w:rsid w:val="007D3A55"/>
    <w:rsid w:val="00873DF0"/>
    <w:rsid w:val="008756E6"/>
    <w:rsid w:val="00983618"/>
    <w:rsid w:val="009B2D44"/>
    <w:rsid w:val="00A01C3B"/>
    <w:rsid w:val="00A07E82"/>
    <w:rsid w:val="00A9710C"/>
    <w:rsid w:val="00AE3E37"/>
    <w:rsid w:val="00AF4E23"/>
    <w:rsid w:val="00B21A57"/>
    <w:rsid w:val="00C33602"/>
    <w:rsid w:val="00CD6F55"/>
    <w:rsid w:val="00DE3104"/>
    <w:rsid w:val="00E92544"/>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drXXXXXXX@xxx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iche.bas.bg/WWW_IChE_EN/LABORATORY_IChE/Process_Systems_Engineering_Laboratory/STAFF_Laboratory/CV_Christo_Boyadjiev/List%20of%20publication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int-sci-center.bas.b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668</Words>
  <Characters>3809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Christo Boyadjiev</cp:lastModifiedBy>
  <cp:revision>3</cp:revision>
  <dcterms:created xsi:type="dcterms:W3CDTF">2018-04-05T13:26:00Z</dcterms:created>
  <dcterms:modified xsi:type="dcterms:W3CDTF">2018-09-10T16:20:00Z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