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092" w:rsidRPr="00023092" w:rsidRDefault="00023092" w:rsidP="00023092">
      <w:pPr>
        <w:spacing w:line="240" w:lineRule="auto"/>
        <w:jc w:val="center"/>
        <w:rPr>
          <w:rFonts w:ascii="Times New Roman" w:hAnsi="Times New Roman" w:cs="Times New Roman"/>
          <w:b/>
          <w:sz w:val="24"/>
          <w:szCs w:val="24"/>
        </w:rPr>
      </w:pPr>
      <w:r w:rsidRPr="00023092">
        <w:rPr>
          <w:rFonts w:ascii="Times New Roman" w:hAnsi="Times New Roman" w:cs="Times New Roman"/>
          <w:b/>
          <w:sz w:val="24"/>
          <w:szCs w:val="24"/>
        </w:rPr>
        <w:t>LES TUMEURS MALIGNES DU GRELE</w:t>
      </w:r>
    </w:p>
    <w:p w:rsidR="00023092" w:rsidRPr="00023092" w:rsidRDefault="00023092" w:rsidP="00023092">
      <w:pPr>
        <w:spacing w:line="240" w:lineRule="auto"/>
        <w:rPr>
          <w:rFonts w:ascii="Times New Roman" w:hAnsi="Times New Roman" w:cs="Times New Roman"/>
          <w:b/>
          <w:sz w:val="24"/>
          <w:szCs w:val="24"/>
        </w:rPr>
      </w:pPr>
      <w:r w:rsidRPr="00023092">
        <w:rPr>
          <w:rFonts w:ascii="Times New Roman" w:hAnsi="Times New Roman" w:cs="Times New Roman"/>
          <w:b/>
          <w:sz w:val="24"/>
          <w:szCs w:val="24"/>
        </w:rPr>
        <w:t>Introduction :</w:t>
      </w:r>
    </w:p>
    <w:p w:rsidR="00023092" w:rsidRPr="00023092" w:rsidRDefault="00023092" w:rsidP="00023092">
      <w:pPr>
        <w:spacing w:line="240" w:lineRule="auto"/>
        <w:rPr>
          <w:rFonts w:ascii="Times New Roman" w:hAnsi="Times New Roman" w:cs="Times New Roman"/>
          <w:sz w:val="24"/>
          <w:szCs w:val="24"/>
        </w:rPr>
      </w:pPr>
      <w:r w:rsidRPr="00023092">
        <w:rPr>
          <w:rFonts w:ascii="Times New Roman" w:hAnsi="Times New Roman" w:cs="Times New Roman"/>
          <w:sz w:val="24"/>
          <w:szCs w:val="24"/>
        </w:rPr>
        <w:t xml:space="preserve">Le cancer de lʼintestin grêle est une localisation rare des cancers digestifs. Il représente 1 à 6% de lʼensemble des tumeurs du tractus digestif. </w:t>
      </w:r>
    </w:p>
    <w:p w:rsidR="00023092" w:rsidRPr="00023092" w:rsidRDefault="00023092" w:rsidP="00023092">
      <w:pPr>
        <w:spacing w:line="240" w:lineRule="auto"/>
        <w:rPr>
          <w:rFonts w:ascii="Times New Roman" w:hAnsi="Times New Roman" w:cs="Times New Roman"/>
          <w:b/>
          <w:sz w:val="24"/>
          <w:szCs w:val="24"/>
        </w:rPr>
      </w:pPr>
      <w:r w:rsidRPr="00023092">
        <w:rPr>
          <w:rFonts w:ascii="Times New Roman" w:hAnsi="Times New Roman" w:cs="Times New Roman"/>
          <w:b/>
          <w:sz w:val="24"/>
          <w:szCs w:val="24"/>
        </w:rPr>
        <w:t>But :</w:t>
      </w:r>
    </w:p>
    <w:p w:rsidR="00023092" w:rsidRPr="00023092" w:rsidRDefault="00023092" w:rsidP="00023092">
      <w:pPr>
        <w:spacing w:line="240" w:lineRule="auto"/>
        <w:rPr>
          <w:rFonts w:ascii="Times New Roman" w:hAnsi="Times New Roman" w:cs="Times New Roman"/>
          <w:sz w:val="24"/>
          <w:szCs w:val="24"/>
        </w:rPr>
      </w:pPr>
      <w:r w:rsidRPr="00023092">
        <w:rPr>
          <w:rFonts w:ascii="Times New Roman" w:hAnsi="Times New Roman" w:cs="Times New Roman"/>
          <w:sz w:val="24"/>
          <w:szCs w:val="24"/>
        </w:rPr>
        <w:t xml:space="preserve">Etudier les particularités épidémiologiques, cliniques et thérapeutiques du cancer de lʼintestin grêle. </w:t>
      </w:r>
    </w:p>
    <w:p w:rsidR="00023092" w:rsidRPr="00023092" w:rsidRDefault="00023092" w:rsidP="00023092">
      <w:pPr>
        <w:spacing w:line="240" w:lineRule="auto"/>
        <w:rPr>
          <w:rFonts w:ascii="Times New Roman" w:hAnsi="Times New Roman" w:cs="Times New Roman"/>
          <w:b/>
          <w:sz w:val="24"/>
          <w:szCs w:val="24"/>
        </w:rPr>
      </w:pPr>
      <w:r w:rsidRPr="00023092">
        <w:rPr>
          <w:rFonts w:ascii="Times New Roman" w:hAnsi="Times New Roman" w:cs="Times New Roman"/>
          <w:b/>
          <w:sz w:val="24"/>
          <w:szCs w:val="24"/>
        </w:rPr>
        <w:t>Patients et Méthodes :</w:t>
      </w:r>
    </w:p>
    <w:p w:rsidR="00023092" w:rsidRPr="00023092" w:rsidRDefault="00023092" w:rsidP="00023092">
      <w:pPr>
        <w:spacing w:line="240" w:lineRule="auto"/>
        <w:rPr>
          <w:rFonts w:ascii="Times New Roman" w:hAnsi="Times New Roman" w:cs="Times New Roman"/>
          <w:sz w:val="24"/>
          <w:szCs w:val="24"/>
        </w:rPr>
      </w:pPr>
      <w:r w:rsidRPr="00023092">
        <w:rPr>
          <w:rFonts w:ascii="Times New Roman" w:hAnsi="Times New Roman" w:cs="Times New Roman"/>
          <w:sz w:val="24"/>
          <w:szCs w:val="24"/>
        </w:rPr>
        <w:t xml:space="preserve">Il </w:t>
      </w:r>
      <w:proofErr w:type="spellStart"/>
      <w:r w:rsidRPr="00023092">
        <w:rPr>
          <w:rFonts w:ascii="Times New Roman" w:hAnsi="Times New Roman" w:cs="Times New Roman"/>
          <w:sz w:val="24"/>
          <w:szCs w:val="24"/>
        </w:rPr>
        <w:t>sʼagit</w:t>
      </w:r>
      <w:proofErr w:type="spellEnd"/>
      <w:r w:rsidRPr="00023092">
        <w:rPr>
          <w:rFonts w:ascii="Times New Roman" w:hAnsi="Times New Roman" w:cs="Times New Roman"/>
          <w:sz w:val="24"/>
          <w:szCs w:val="24"/>
        </w:rPr>
        <w:t xml:space="preserve"> dʼune étude rétrospective ayant intéressé tous les patients  atteints dʼune tumeur du grêle située entre le duodénum et lʼiléon terminal, sur une période de 10 ans (Janvier 2007 –Décembre 2016.</w:t>
      </w:r>
    </w:p>
    <w:p w:rsidR="00023092" w:rsidRPr="00023092" w:rsidRDefault="00023092" w:rsidP="00023092">
      <w:pPr>
        <w:spacing w:line="240" w:lineRule="auto"/>
        <w:rPr>
          <w:rFonts w:ascii="Times New Roman" w:hAnsi="Times New Roman" w:cs="Times New Roman"/>
          <w:sz w:val="24"/>
          <w:szCs w:val="24"/>
        </w:rPr>
      </w:pPr>
      <w:r w:rsidRPr="00023092">
        <w:rPr>
          <w:rFonts w:ascii="Times New Roman" w:hAnsi="Times New Roman" w:cs="Times New Roman"/>
          <w:b/>
          <w:sz w:val="24"/>
          <w:szCs w:val="24"/>
        </w:rPr>
        <w:t xml:space="preserve">Résultats </w:t>
      </w:r>
      <w:r w:rsidRPr="00023092">
        <w:rPr>
          <w:rFonts w:ascii="Times New Roman" w:hAnsi="Times New Roman" w:cs="Times New Roman"/>
          <w:sz w:val="24"/>
          <w:szCs w:val="24"/>
        </w:rPr>
        <w:t>:</w:t>
      </w:r>
    </w:p>
    <w:p w:rsidR="00023092" w:rsidRPr="00023092" w:rsidRDefault="00023092" w:rsidP="00023092">
      <w:pPr>
        <w:spacing w:line="240" w:lineRule="auto"/>
        <w:rPr>
          <w:rFonts w:ascii="Times New Roman" w:hAnsi="Times New Roman" w:cs="Times New Roman"/>
          <w:sz w:val="24"/>
          <w:szCs w:val="24"/>
        </w:rPr>
      </w:pPr>
      <w:r w:rsidRPr="00023092">
        <w:rPr>
          <w:rFonts w:ascii="Times New Roman" w:hAnsi="Times New Roman" w:cs="Times New Roman"/>
          <w:sz w:val="24"/>
          <w:szCs w:val="24"/>
        </w:rPr>
        <w:t xml:space="preserve">Onze patients ont été colligés. Il </w:t>
      </w:r>
      <w:proofErr w:type="spellStart"/>
      <w:r w:rsidRPr="00023092">
        <w:rPr>
          <w:rFonts w:ascii="Times New Roman" w:hAnsi="Times New Roman" w:cs="Times New Roman"/>
          <w:sz w:val="24"/>
          <w:szCs w:val="24"/>
        </w:rPr>
        <w:t>sʼagit</w:t>
      </w:r>
      <w:proofErr w:type="spellEnd"/>
      <w:r w:rsidRPr="00023092">
        <w:rPr>
          <w:rFonts w:ascii="Times New Roman" w:hAnsi="Times New Roman" w:cs="Times New Roman"/>
          <w:sz w:val="24"/>
          <w:szCs w:val="24"/>
        </w:rPr>
        <w:t xml:space="preserve"> de 8 hommes et 3 femmes </w:t>
      </w:r>
      <w:proofErr w:type="spellStart"/>
      <w:r w:rsidRPr="00023092">
        <w:rPr>
          <w:rFonts w:ascii="Times New Roman" w:hAnsi="Times New Roman" w:cs="Times New Roman"/>
          <w:sz w:val="24"/>
          <w:szCs w:val="24"/>
        </w:rPr>
        <w:t>dʼâge</w:t>
      </w:r>
      <w:proofErr w:type="spellEnd"/>
      <w:r w:rsidRPr="00023092">
        <w:rPr>
          <w:rFonts w:ascii="Times New Roman" w:hAnsi="Times New Roman" w:cs="Times New Roman"/>
          <w:sz w:val="24"/>
          <w:szCs w:val="24"/>
        </w:rPr>
        <w:t xml:space="preserve"> moyen de 55,4 ans. Les signes fonctionnels étaient dominés par des douleurs abdominales, un amaigrissement, une diarrhée et un syndrome </w:t>
      </w:r>
      <w:proofErr w:type="spellStart"/>
      <w:r w:rsidRPr="00023092">
        <w:rPr>
          <w:rFonts w:ascii="Times New Roman" w:hAnsi="Times New Roman" w:cs="Times New Roman"/>
          <w:sz w:val="24"/>
          <w:szCs w:val="24"/>
        </w:rPr>
        <w:t>subocclusif</w:t>
      </w:r>
      <w:proofErr w:type="spellEnd"/>
      <w:r w:rsidRPr="00023092">
        <w:rPr>
          <w:rFonts w:ascii="Times New Roman" w:hAnsi="Times New Roman" w:cs="Times New Roman"/>
          <w:sz w:val="24"/>
          <w:szCs w:val="24"/>
        </w:rPr>
        <w:t xml:space="preserve">. Lʼexamen physique avait objectivé une splénomégalie avec des adénopathies chez un patient. Une défense de la fosse iliaque droite était notée dans un cas. La biologie a montré un syndrome inflammatoire biologique et un syndrome carentiel chez six patients. La majorité des patients ont eu une exploration digestive complète (fibroscopie digestive haute, iléo coloscopie, transit du grêle, entéroscanner). Le diagnostique de malignité a été retenu sur biopsie per endoscopique (n=7) et sur pièce opératoire (n=4). Les tumeurs étaient essentiellement des lymphomes (n=8). Ailleurs, il </w:t>
      </w:r>
      <w:proofErr w:type="spellStart"/>
      <w:r w:rsidRPr="00023092">
        <w:rPr>
          <w:rFonts w:ascii="Times New Roman" w:hAnsi="Times New Roman" w:cs="Times New Roman"/>
          <w:sz w:val="24"/>
          <w:szCs w:val="24"/>
        </w:rPr>
        <w:t>sʼagissait</w:t>
      </w:r>
      <w:proofErr w:type="spellEnd"/>
      <w:r w:rsidRPr="00023092">
        <w:rPr>
          <w:rFonts w:ascii="Times New Roman" w:hAnsi="Times New Roman" w:cs="Times New Roman"/>
          <w:sz w:val="24"/>
          <w:szCs w:val="24"/>
        </w:rPr>
        <w:t xml:space="preserve"> </w:t>
      </w:r>
      <w:proofErr w:type="spellStart"/>
      <w:r w:rsidRPr="00023092">
        <w:rPr>
          <w:rFonts w:ascii="Times New Roman" w:hAnsi="Times New Roman" w:cs="Times New Roman"/>
          <w:sz w:val="24"/>
          <w:szCs w:val="24"/>
        </w:rPr>
        <w:t>dʼun</w:t>
      </w:r>
      <w:proofErr w:type="spellEnd"/>
      <w:r w:rsidRPr="00023092">
        <w:rPr>
          <w:rFonts w:ascii="Times New Roman" w:hAnsi="Times New Roman" w:cs="Times New Roman"/>
          <w:sz w:val="24"/>
          <w:szCs w:val="24"/>
        </w:rPr>
        <w:t xml:space="preserve"> adénocarcinome (n=1), dʼune tumeur carcinoïde (n=1) ou dʼune tumeur stromale (n=1). Un bilan </w:t>
      </w:r>
      <w:proofErr w:type="spellStart"/>
      <w:r w:rsidRPr="00023092">
        <w:rPr>
          <w:rFonts w:ascii="Times New Roman" w:hAnsi="Times New Roman" w:cs="Times New Roman"/>
          <w:sz w:val="24"/>
          <w:szCs w:val="24"/>
        </w:rPr>
        <w:t>dʼextension</w:t>
      </w:r>
      <w:proofErr w:type="spellEnd"/>
      <w:r w:rsidRPr="00023092">
        <w:rPr>
          <w:rFonts w:ascii="Times New Roman" w:hAnsi="Times New Roman" w:cs="Times New Roman"/>
          <w:sz w:val="24"/>
          <w:szCs w:val="24"/>
        </w:rPr>
        <w:t xml:space="preserve"> exhaustif a été fait chez tous les patients. Il avait montré une </w:t>
      </w:r>
      <w:proofErr w:type="spellStart"/>
      <w:r w:rsidRPr="00023092">
        <w:rPr>
          <w:rFonts w:ascii="Times New Roman" w:hAnsi="Times New Roman" w:cs="Times New Roman"/>
          <w:sz w:val="24"/>
          <w:szCs w:val="24"/>
        </w:rPr>
        <w:t>carcinose</w:t>
      </w:r>
      <w:proofErr w:type="spellEnd"/>
      <w:r w:rsidRPr="00023092">
        <w:rPr>
          <w:rFonts w:ascii="Times New Roman" w:hAnsi="Times New Roman" w:cs="Times New Roman"/>
          <w:sz w:val="24"/>
          <w:szCs w:val="24"/>
        </w:rPr>
        <w:t xml:space="preserve"> péritonéale avec métastases hépatiques chez deux malades. Une chimiothérapie exclusive a été instaurée chez 7 patients ayant un lymphome. Trois patients ont été opérés et ont reçu une chimiothérapie post opératoire. Lʼévolution était marque par une rémission des lymphomes après un suivi moyen de 9 mois. Une récidive tumorale a été observée après 3 ans de suivi chez le patient présentant une tumeur carcinoïde </w:t>
      </w:r>
    </w:p>
    <w:p w:rsidR="00023092" w:rsidRPr="00023092" w:rsidRDefault="00023092" w:rsidP="00023092">
      <w:pPr>
        <w:spacing w:line="240" w:lineRule="auto"/>
        <w:rPr>
          <w:rFonts w:ascii="Times New Roman" w:hAnsi="Times New Roman" w:cs="Times New Roman"/>
          <w:b/>
          <w:sz w:val="24"/>
          <w:szCs w:val="24"/>
        </w:rPr>
      </w:pPr>
      <w:r w:rsidRPr="00023092">
        <w:rPr>
          <w:rFonts w:ascii="Times New Roman" w:hAnsi="Times New Roman" w:cs="Times New Roman"/>
          <w:b/>
          <w:sz w:val="24"/>
          <w:szCs w:val="24"/>
        </w:rPr>
        <w:t>Conclusion :</w:t>
      </w:r>
    </w:p>
    <w:p w:rsidR="00990F93" w:rsidRPr="00023092" w:rsidRDefault="00023092" w:rsidP="00023092">
      <w:pPr>
        <w:spacing w:line="240" w:lineRule="auto"/>
        <w:rPr>
          <w:rFonts w:ascii="Times New Roman" w:hAnsi="Times New Roman" w:cs="Times New Roman"/>
          <w:sz w:val="24"/>
          <w:szCs w:val="24"/>
        </w:rPr>
      </w:pPr>
      <w:r w:rsidRPr="00023092">
        <w:rPr>
          <w:rFonts w:ascii="Times New Roman" w:hAnsi="Times New Roman" w:cs="Times New Roman"/>
          <w:sz w:val="24"/>
          <w:szCs w:val="24"/>
        </w:rPr>
        <w:t>Les tumeurs malignes du grêle sont peu fréquentes et sont dominées par les lymphomes qui touchent essentiellement des sujets jeunes et de sexe masculin. Malgré la multiplicité des moyens diagnostiques le recours à la chirurgie reste fréquent aussi bien à titre diagnostique que thérapeutique.</w:t>
      </w:r>
    </w:p>
    <w:sectPr w:rsidR="00990F93" w:rsidRPr="00023092" w:rsidSect="00986AF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023092"/>
    <w:rsid w:val="00023092"/>
    <w:rsid w:val="0050024B"/>
    <w:rsid w:val="00986AF1"/>
    <w:rsid w:val="00B4597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AF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348</Words>
  <Characters>1914</Characters>
  <Application>Microsoft Office Word</Application>
  <DocSecurity>0</DocSecurity>
  <Lines>15</Lines>
  <Paragraphs>4</Paragraphs>
  <ScaleCrop>false</ScaleCrop>
  <Company/>
  <LinksUpToDate>false</LinksUpToDate>
  <CharactersWithSpaces>2258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2017-01-07T12:43:00Z</dcterms:created>
  <dcterms:modified xsi:type="dcterms:W3CDTF">2017-01-07T12:49:00Z</dcterms:modified>
</cp:coreProperties>
</file>