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BC2" w:rsidRPr="00DA2790" w:rsidRDefault="00E970FC" w:rsidP="00DA2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Apport de l’endoscopie dans l’étiologie des p</w:t>
      </w:r>
      <w:r w:rsidR="000A6BC2" w:rsidRPr="00DA2790">
        <w:rPr>
          <w:rFonts w:ascii="Times New Roman" w:hAnsi="Times New Roman" w:cs="Times New Roman"/>
          <w:b/>
          <w:sz w:val="28"/>
          <w:szCs w:val="28"/>
        </w:rPr>
        <w:t>oly</w:t>
      </w:r>
      <w:r w:rsidR="00DA2790">
        <w:rPr>
          <w:rFonts w:ascii="Times New Roman" w:hAnsi="Times New Roman" w:cs="Times New Roman"/>
          <w:b/>
          <w:sz w:val="28"/>
          <w:szCs w:val="28"/>
        </w:rPr>
        <w:t xml:space="preserve">pes gastriques hyperplasiques </w:t>
      </w:r>
    </w:p>
    <w:p w:rsidR="00DA2790" w:rsidRPr="00DA2790" w:rsidRDefault="000A6BC2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  <w:r w:rsidRPr="00DA27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A2790" w:rsidRDefault="000A6BC2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sz w:val="24"/>
          <w:szCs w:val="24"/>
        </w:rPr>
        <w:t xml:space="preserve">Les polypes gastriques hyperplasiques </w:t>
      </w:r>
      <w:r w:rsidR="00DA2790"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>sont souvent asymptomatiques et de découverte fortuite lors d’une fibroscopie</w:t>
      </w:r>
      <w:r w:rsidR="00DA2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oeso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gastro-duodénale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 xml:space="preserve">. Leur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éthiopathogénie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 xml:space="preserve"> est encore inconnue. </w:t>
      </w:r>
    </w:p>
    <w:p w:rsidR="00DA2790" w:rsidRDefault="00DA2790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b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> :</w:t>
      </w:r>
    </w:p>
    <w:p w:rsidR="000A6BC2" w:rsidRPr="00DA2790" w:rsidRDefault="00DA2790" w:rsidP="000A6B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Rapporter</w:t>
      </w:r>
      <w:r w:rsidR="000A6BC2"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="000A6BC2" w:rsidRPr="00DA2790">
        <w:rPr>
          <w:rFonts w:ascii="Times New Roman" w:hAnsi="Times New Roman" w:cs="Times New Roman"/>
          <w:sz w:val="24"/>
          <w:szCs w:val="24"/>
        </w:rPr>
        <w:t xml:space="preserve">les aspects </w:t>
      </w:r>
      <w:proofErr w:type="spellStart"/>
      <w:r w:rsidR="000A6BC2" w:rsidRPr="00DA2790">
        <w:rPr>
          <w:rFonts w:ascii="Times New Roman" w:hAnsi="Times New Roman" w:cs="Times New Roman"/>
          <w:sz w:val="24"/>
          <w:szCs w:val="24"/>
        </w:rPr>
        <w:t>anatomocliniques</w:t>
      </w:r>
      <w:proofErr w:type="spellEnd"/>
      <w:r w:rsidR="000A6BC2" w:rsidRPr="00DA2790">
        <w:rPr>
          <w:rFonts w:ascii="Times New Roman" w:hAnsi="Times New Roman" w:cs="Times New Roman"/>
          <w:sz w:val="24"/>
          <w:szCs w:val="24"/>
        </w:rPr>
        <w:t xml:space="preserve"> des polypes hyperplasiques.</w:t>
      </w:r>
    </w:p>
    <w:p w:rsidR="00DA2790" w:rsidRPr="00DA2790" w:rsidRDefault="000A6BC2" w:rsidP="000A6BC2">
      <w:pPr>
        <w:rPr>
          <w:rFonts w:ascii="Times New Roman" w:hAnsi="Times New Roman" w:cs="Times New Roman"/>
          <w:b/>
          <w:sz w:val="24"/>
          <w:szCs w:val="24"/>
        </w:rPr>
      </w:pPr>
      <w:r w:rsidRPr="00DA2790">
        <w:rPr>
          <w:rFonts w:ascii="Times New Roman" w:hAnsi="Times New Roman" w:cs="Times New Roman"/>
          <w:b/>
          <w:sz w:val="24"/>
          <w:szCs w:val="24"/>
        </w:rPr>
        <w:t>Patients et Méthodes :</w:t>
      </w:r>
    </w:p>
    <w:p w:rsidR="000A6BC2" w:rsidRPr="00DA2790" w:rsidRDefault="000A6BC2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sz w:val="24"/>
          <w:szCs w:val="24"/>
        </w:rPr>
        <w:t xml:space="preserve"> Il s’agit d’une étude rétrospective colligeant tous les cas de polypes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hyerplasiques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="00DA2790"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 xml:space="preserve">gastriques diagnostiqués au service d’anatomopathologie </w:t>
      </w:r>
      <w:r w:rsidR="00DA2790">
        <w:rPr>
          <w:rFonts w:ascii="Times New Roman" w:hAnsi="Times New Roman" w:cs="Times New Roman"/>
          <w:sz w:val="24"/>
          <w:szCs w:val="24"/>
        </w:rPr>
        <w:t xml:space="preserve">durant une période de 7 </w:t>
      </w:r>
      <w:r w:rsidRPr="00DA2790">
        <w:rPr>
          <w:rFonts w:ascii="Times New Roman" w:hAnsi="Times New Roman" w:cs="Times New Roman"/>
          <w:sz w:val="24"/>
          <w:szCs w:val="24"/>
        </w:rPr>
        <w:t xml:space="preserve">ans. Leurs aspects endoscopiques (taille, siège, nombre) et histologiques (métaplasie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intestinale</w:t>
      </w:r>
      <w:proofErr w:type="gramStart"/>
      <w:r w:rsidRPr="00DA2790">
        <w:rPr>
          <w:rFonts w:ascii="Times New Roman" w:hAnsi="Times New Roman" w:cs="Times New Roman"/>
          <w:sz w:val="24"/>
          <w:szCs w:val="24"/>
        </w:rPr>
        <w:t>,dysplasie</w:t>
      </w:r>
      <w:proofErr w:type="spellEnd"/>
      <w:proofErr w:type="gramEnd"/>
      <w:r w:rsidRPr="00DA2790">
        <w:rPr>
          <w:rFonts w:ascii="Times New Roman" w:hAnsi="Times New Roman" w:cs="Times New Roman"/>
          <w:sz w:val="24"/>
          <w:szCs w:val="24"/>
        </w:rPr>
        <w:t xml:space="preserve">) ainsi que les caractéristiques de la muqueuse gastrique sous-jacente (Helicobacter pylori, lésions gastriques) ont été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determinés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>.</w:t>
      </w:r>
    </w:p>
    <w:p w:rsidR="00DA2790" w:rsidRPr="00DA2790" w:rsidRDefault="000A6BC2" w:rsidP="000A6BC2">
      <w:pPr>
        <w:rPr>
          <w:rFonts w:ascii="Times New Roman" w:hAnsi="Times New Roman" w:cs="Times New Roman"/>
          <w:b/>
          <w:sz w:val="24"/>
          <w:szCs w:val="24"/>
        </w:rPr>
      </w:pPr>
      <w:r w:rsidRPr="00DA2790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0A6BC2" w:rsidRPr="00DA2790" w:rsidRDefault="000A6BC2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sz w:val="24"/>
          <w:szCs w:val="24"/>
        </w:rPr>
        <w:t xml:space="preserve"> Nous avons inclus 21 cas. Ils étaient </w:t>
      </w:r>
      <w:r w:rsidR="00DA2790">
        <w:rPr>
          <w:rFonts w:ascii="Times New Roman" w:hAnsi="Times New Roman" w:cs="Times New Roman"/>
          <w:sz w:val="24"/>
          <w:szCs w:val="24"/>
        </w:rPr>
        <w:t>retrouvés chez 13 hommes et 8</w:t>
      </w:r>
      <w:r w:rsidRPr="00DA2790">
        <w:rPr>
          <w:rFonts w:ascii="Times New Roman" w:hAnsi="Times New Roman" w:cs="Times New Roman"/>
          <w:sz w:val="24"/>
          <w:szCs w:val="24"/>
        </w:rPr>
        <w:t xml:space="preserve"> femmes d’âge moyen de </w:t>
      </w:r>
      <w:r w:rsidR="00DA2790">
        <w:rPr>
          <w:rFonts w:ascii="Times New Roman" w:hAnsi="Times New Roman" w:cs="Times New Roman"/>
          <w:sz w:val="24"/>
          <w:szCs w:val="24"/>
        </w:rPr>
        <w:t xml:space="preserve">64 </w:t>
      </w:r>
      <w:r w:rsidRPr="00DA2790">
        <w:rPr>
          <w:rFonts w:ascii="Times New Roman" w:hAnsi="Times New Roman" w:cs="Times New Roman"/>
          <w:sz w:val="24"/>
          <w:szCs w:val="24"/>
        </w:rPr>
        <w:t xml:space="preserve">ans. Le polype était unique chez 95% des cas et bifocal chez un seul patient. La taille était petite (&lt;10 mm) dans 81% des </w:t>
      </w:r>
      <w:r w:rsidR="00DA2790"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>cas et entre 10 à 15 mm chez 4 patients. Le siège du polype était : le cardia (</w:t>
      </w:r>
      <w:r w:rsidR="00DA2790">
        <w:rPr>
          <w:rFonts w:ascii="Times New Roman" w:hAnsi="Times New Roman" w:cs="Times New Roman"/>
          <w:sz w:val="24"/>
          <w:szCs w:val="24"/>
        </w:rPr>
        <w:t>25</w:t>
      </w:r>
      <w:r w:rsidRPr="00DA2790">
        <w:rPr>
          <w:rFonts w:ascii="Times New Roman" w:hAnsi="Times New Roman" w:cs="Times New Roman"/>
          <w:sz w:val="24"/>
          <w:szCs w:val="24"/>
        </w:rPr>
        <w:t>%), le fundus (</w:t>
      </w:r>
      <w:r w:rsidR="00DA2790">
        <w:rPr>
          <w:rFonts w:ascii="Times New Roman" w:hAnsi="Times New Roman" w:cs="Times New Roman"/>
          <w:sz w:val="24"/>
          <w:szCs w:val="24"/>
        </w:rPr>
        <w:t>30</w:t>
      </w:r>
      <w:r w:rsidRPr="00DA2790">
        <w:rPr>
          <w:rFonts w:ascii="Times New Roman" w:hAnsi="Times New Roman" w:cs="Times New Roman"/>
          <w:sz w:val="24"/>
          <w:szCs w:val="24"/>
        </w:rPr>
        <w:t>%) et l’antre (</w:t>
      </w:r>
      <w:r w:rsidR="00DA2790">
        <w:rPr>
          <w:rFonts w:ascii="Times New Roman" w:hAnsi="Times New Roman" w:cs="Times New Roman"/>
          <w:sz w:val="24"/>
          <w:szCs w:val="24"/>
        </w:rPr>
        <w:t>45</w:t>
      </w:r>
      <w:r w:rsidRPr="00DA2790">
        <w:rPr>
          <w:rFonts w:ascii="Times New Roman" w:hAnsi="Times New Roman" w:cs="Times New Roman"/>
          <w:sz w:val="24"/>
          <w:szCs w:val="24"/>
        </w:rPr>
        <w:t xml:space="preserve">%). La métaplasie intestinale focale a été retrouvée dans </w:t>
      </w:r>
      <w:r w:rsidR="00DA2790">
        <w:rPr>
          <w:rFonts w:ascii="Times New Roman" w:hAnsi="Times New Roman" w:cs="Times New Roman"/>
          <w:sz w:val="24"/>
          <w:szCs w:val="24"/>
        </w:rPr>
        <w:t xml:space="preserve">15 </w:t>
      </w:r>
      <w:r w:rsidRPr="00DA2790">
        <w:rPr>
          <w:rFonts w:ascii="Times New Roman" w:hAnsi="Times New Roman" w:cs="Times New Roman"/>
          <w:sz w:val="24"/>
          <w:szCs w:val="24"/>
        </w:rPr>
        <w:t xml:space="preserve">cas. Les biopsies de la muqueuse gastrique avoisinante (pratiquées </w:t>
      </w:r>
      <w:r w:rsidR="00DA2790" w:rsidRP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>dans 14 cas) ont montré des lésions de gastrite chronique active à Helicobacter pylori</w:t>
      </w:r>
      <w:r w:rsid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 xml:space="preserve">(8 cas), des lésions de gastrite atrophique auto-immune (2 cas) et des lésions de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gastropathie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 xml:space="preserve"> réactive (4 cas).</w:t>
      </w:r>
    </w:p>
    <w:p w:rsidR="00DA2790" w:rsidRPr="00DA2790" w:rsidRDefault="000A6BC2" w:rsidP="000A6BC2">
      <w:pPr>
        <w:rPr>
          <w:rFonts w:ascii="Times New Roman" w:hAnsi="Times New Roman" w:cs="Times New Roman"/>
          <w:b/>
          <w:sz w:val="24"/>
          <w:szCs w:val="24"/>
        </w:rPr>
      </w:pPr>
      <w:r w:rsidRPr="00DA2790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DA2790" w:rsidRDefault="000A6BC2" w:rsidP="000A6BC2">
      <w:pPr>
        <w:rPr>
          <w:rFonts w:ascii="Times New Roman" w:hAnsi="Times New Roman" w:cs="Times New Roman"/>
          <w:sz w:val="24"/>
          <w:szCs w:val="24"/>
        </w:rPr>
      </w:pPr>
      <w:r w:rsidRPr="00DA2790">
        <w:rPr>
          <w:rFonts w:ascii="Times New Roman" w:hAnsi="Times New Roman" w:cs="Times New Roman"/>
          <w:sz w:val="24"/>
          <w:szCs w:val="24"/>
        </w:rPr>
        <w:t xml:space="preserve"> Les polypes gastriques hyperplasiques sont souvent associés à des lésions pré-néoplasiques et à une gastrite chronique de type variable, particulièrement celle </w:t>
      </w:r>
      <w:r w:rsidR="00DA2790" w:rsidRPr="00DA2790">
        <w:rPr>
          <w:rFonts w:ascii="Times New Roman" w:hAnsi="Times New Roman" w:cs="Times New Roman"/>
          <w:sz w:val="24"/>
          <w:szCs w:val="24"/>
        </w:rPr>
        <w:t>associée à une infection à</w:t>
      </w:r>
      <w:r w:rsid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 xml:space="preserve">Helicobacter pylori. Ceci met en évidence l’importance des biopsies de la muqueuse gastrique </w:t>
      </w:r>
      <w:r w:rsidR="00DA2790" w:rsidRPr="00DA2790">
        <w:rPr>
          <w:rFonts w:ascii="Times New Roman" w:hAnsi="Times New Roman" w:cs="Times New Roman"/>
          <w:sz w:val="24"/>
          <w:szCs w:val="24"/>
        </w:rPr>
        <w:t>avoisinante lors de</w:t>
      </w:r>
      <w:r w:rsidR="00DA2790">
        <w:rPr>
          <w:rFonts w:ascii="Times New Roman" w:hAnsi="Times New Roman" w:cs="Times New Roman"/>
          <w:sz w:val="24"/>
          <w:szCs w:val="24"/>
        </w:rPr>
        <w:t xml:space="preserve"> </w:t>
      </w:r>
      <w:r w:rsidRPr="00DA2790">
        <w:rPr>
          <w:rFonts w:ascii="Times New Roman" w:hAnsi="Times New Roman" w:cs="Times New Roman"/>
          <w:sz w:val="24"/>
          <w:szCs w:val="24"/>
        </w:rPr>
        <w:t xml:space="preserve">la fibroscopie 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oeso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A2790">
        <w:rPr>
          <w:rFonts w:ascii="Times New Roman" w:hAnsi="Times New Roman" w:cs="Times New Roman"/>
          <w:sz w:val="24"/>
          <w:szCs w:val="24"/>
        </w:rPr>
        <w:t>gastro-duodénale</w:t>
      </w:r>
      <w:proofErr w:type="spellEnd"/>
      <w:r w:rsidRPr="00DA2790">
        <w:rPr>
          <w:rFonts w:ascii="Times New Roman" w:hAnsi="Times New Roman" w:cs="Times New Roman"/>
          <w:sz w:val="24"/>
          <w:szCs w:val="24"/>
        </w:rPr>
        <w:t>.</w:t>
      </w:r>
    </w:p>
    <w:sectPr w:rsidR="00990F93" w:rsidRPr="00DA2790" w:rsidSect="009D2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6BC2"/>
    <w:rsid w:val="000A6BC2"/>
    <w:rsid w:val="0050024B"/>
    <w:rsid w:val="006F17B5"/>
    <w:rsid w:val="009D27AE"/>
    <w:rsid w:val="00B4597B"/>
    <w:rsid w:val="00CA601F"/>
    <w:rsid w:val="00DA2790"/>
    <w:rsid w:val="00E9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7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2017-01-07T11:54:00Z</dcterms:created>
  <dcterms:modified xsi:type="dcterms:W3CDTF">2017-02-05T09:28:00Z</dcterms:modified>
</cp:coreProperties>
</file>