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905" w:rsidRPr="004D7905" w:rsidRDefault="004D7905" w:rsidP="004D7905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4D7905">
        <w:rPr>
          <w:rFonts w:ascii="Times New Roman" w:hAnsi="Times New Roman" w:cs="Times New Roman"/>
          <w:b/>
        </w:rPr>
        <w:t>CONCORDANCE ENTRE ASPECT ENDOSCOPIQUE ET ASPECT HISTOLOGIQUE DE L’ENDOBRACHYŒSOPHAGE</w:t>
      </w:r>
    </w:p>
    <w:p w:rsidR="004D7905" w:rsidRPr="004D7905" w:rsidRDefault="004D7905" w:rsidP="004D7905">
      <w:pPr>
        <w:spacing w:line="240" w:lineRule="auto"/>
        <w:rPr>
          <w:rFonts w:ascii="Times New Roman" w:hAnsi="Times New Roman" w:cs="Times New Roman"/>
          <w:b/>
        </w:rPr>
      </w:pPr>
      <w:r w:rsidRPr="004D7905">
        <w:rPr>
          <w:rFonts w:ascii="Times New Roman" w:hAnsi="Times New Roman" w:cs="Times New Roman"/>
          <w:b/>
        </w:rPr>
        <w:t>Introduction :</w:t>
      </w:r>
    </w:p>
    <w:p w:rsidR="004D7905" w:rsidRPr="004D7905" w:rsidRDefault="004D7905" w:rsidP="004D790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diagnostic dʼ</w:t>
      </w:r>
      <w:proofErr w:type="spellStart"/>
      <w:r>
        <w:rPr>
          <w:rFonts w:ascii="Times New Roman" w:hAnsi="Times New Roman" w:cs="Times New Roman"/>
        </w:rPr>
        <w:t>endobrachy</w:t>
      </w:r>
      <w:r w:rsidRPr="004D7905">
        <w:rPr>
          <w:rFonts w:ascii="Times New Roman" w:hAnsi="Times New Roman" w:cs="Times New Roman"/>
        </w:rPr>
        <w:t>œ</w:t>
      </w:r>
      <w:r>
        <w:rPr>
          <w:rFonts w:ascii="Times New Roman" w:hAnsi="Times New Roman" w:cs="Times New Roman"/>
        </w:rPr>
        <w:t>sophage</w:t>
      </w:r>
      <w:proofErr w:type="spellEnd"/>
      <w:r>
        <w:rPr>
          <w:rFonts w:ascii="Times New Roman" w:hAnsi="Times New Roman" w:cs="Times New Roman"/>
        </w:rPr>
        <w:t xml:space="preserve"> court est souvent difficile à lʼendoscopie. Sa confi</w:t>
      </w:r>
      <w:r w:rsidRPr="004D7905">
        <w:rPr>
          <w:rFonts w:ascii="Times New Roman" w:hAnsi="Times New Roman" w:cs="Times New Roman"/>
        </w:rPr>
        <w:t xml:space="preserve">rmation </w:t>
      </w:r>
    </w:p>
    <w:p w:rsidR="004D7905" w:rsidRPr="004D7905" w:rsidRDefault="004D7905" w:rsidP="004D7905">
      <w:pPr>
        <w:spacing w:line="240" w:lineRule="auto"/>
        <w:rPr>
          <w:rFonts w:ascii="Times New Roman" w:hAnsi="Times New Roman" w:cs="Times New Roman"/>
        </w:rPr>
      </w:pPr>
      <w:proofErr w:type="gramStart"/>
      <w:r w:rsidRPr="004D7905">
        <w:rPr>
          <w:rFonts w:ascii="Times New Roman" w:hAnsi="Times New Roman" w:cs="Times New Roman"/>
        </w:rPr>
        <w:t>histologique</w:t>
      </w:r>
      <w:proofErr w:type="gramEnd"/>
      <w:r w:rsidRPr="004D7905">
        <w:rPr>
          <w:rFonts w:ascii="Times New Roman" w:hAnsi="Times New Roman" w:cs="Times New Roman"/>
        </w:rPr>
        <w:t xml:space="preserve"> nʼ</w:t>
      </w:r>
      <w:r>
        <w:rPr>
          <w:rFonts w:ascii="Times New Roman" w:hAnsi="Times New Roman" w:cs="Times New Roman"/>
        </w:rPr>
        <w:t xml:space="preserve"> </w:t>
      </w:r>
      <w:r w:rsidRPr="004D7905">
        <w:rPr>
          <w:rFonts w:ascii="Times New Roman" w:hAnsi="Times New Roman" w:cs="Times New Roman"/>
        </w:rPr>
        <w:t>est pas évidente</w:t>
      </w:r>
      <w:r>
        <w:rPr>
          <w:rFonts w:ascii="Times New Roman" w:hAnsi="Times New Roman" w:cs="Times New Roman"/>
        </w:rPr>
        <w:t>.</w:t>
      </w:r>
    </w:p>
    <w:p w:rsidR="004D7905" w:rsidRPr="004D7905" w:rsidRDefault="004D7905" w:rsidP="004D7905">
      <w:pPr>
        <w:spacing w:line="240" w:lineRule="auto"/>
        <w:rPr>
          <w:rFonts w:ascii="Times New Roman" w:hAnsi="Times New Roman" w:cs="Times New Roman"/>
          <w:b/>
        </w:rPr>
      </w:pPr>
      <w:r w:rsidRPr="004D7905">
        <w:rPr>
          <w:rFonts w:ascii="Times New Roman" w:hAnsi="Times New Roman" w:cs="Times New Roman"/>
          <w:b/>
        </w:rPr>
        <w:t>But :</w:t>
      </w:r>
    </w:p>
    <w:p w:rsidR="004D7905" w:rsidRPr="004D7905" w:rsidRDefault="004D7905" w:rsidP="004D7905">
      <w:pPr>
        <w:spacing w:line="240" w:lineRule="auto"/>
        <w:rPr>
          <w:rFonts w:ascii="Times New Roman" w:hAnsi="Times New Roman" w:cs="Times New Roman"/>
        </w:rPr>
      </w:pPr>
      <w:r w:rsidRPr="004D7905">
        <w:rPr>
          <w:rFonts w:ascii="Times New Roman" w:hAnsi="Times New Roman" w:cs="Times New Roman"/>
        </w:rPr>
        <w:t>Rechercher sʼ</w:t>
      </w:r>
      <w:r>
        <w:rPr>
          <w:rFonts w:ascii="Times New Roman" w:hAnsi="Times New Roman" w:cs="Times New Roman"/>
        </w:rPr>
        <w:t xml:space="preserve"> </w:t>
      </w:r>
      <w:r w:rsidRPr="004D7905">
        <w:rPr>
          <w:rFonts w:ascii="Times New Roman" w:hAnsi="Times New Roman" w:cs="Times New Roman"/>
        </w:rPr>
        <w:t>il existe une concordanc</w:t>
      </w:r>
      <w:r>
        <w:rPr>
          <w:rFonts w:ascii="Times New Roman" w:hAnsi="Times New Roman" w:cs="Times New Roman"/>
        </w:rPr>
        <w:t>e entre l’</w:t>
      </w:r>
      <w:r w:rsidRPr="004D7905">
        <w:rPr>
          <w:rFonts w:ascii="Times New Roman" w:hAnsi="Times New Roman" w:cs="Times New Roman"/>
        </w:rPr>
        <w:t>aspe</w:t>
      </w:r>
      <w:r>
        <w:rPr>
          <w:rFonts w:ascii="Times New Roman" w:hAnsi="Times New Roman" w:cs="Times New Roman"/>
        </w:rPr>
        <w:t>ct endoscopique de lʼ</w:t>
      </w:r>
      <w:proofErr w:type="spellStart"/>
      <w:r>
        <w:rPr>
          <w:rFonts w:ascii="Times New Roman" w:hAnsi="Times New Roman" w:cs="Times New Roman"/>
        </w:rPr>
        <w:t>endobrachy</w:t>
      </w:r>
      <w:r w:rsidRPr="004D7905">
        <w:rPr>
          <w:rFonts w:ascii="Times New Roman" w:hAnsi="Times New Roman" w:cs="Times New Roman"/>
        </w:rPr>
        <w:t>œsophage</w:t>
      </w:r>
      <w:proofErr w:type="spellEnd"/>
      <w:r w:rsidRPr="004D7905">
        <w:rPr>
          <w:rFonts w:ascii="Times New Roman" w:hAnsi="Times New Roman" w:cs="Times New Roman"/>
        </w:rPr>
        <w:t xml:space="preserve"> et lʼhistologie notamment quand lʼendobrachy</w:t>
      </w:r>
      <w:r>
        <w:rPr>
          <w:rFonts w:ascii="Times New Roman" w:hAnsi="Times New Roman" w:cs="Times New Roman"/>
        </w:rPr>
        <w:t>oesophage</w:t>
      </w:r>
      <w:r w:rsidRPr="004D7905">
        <w:rPr>
          <w:rFonts w:ascii="Times New Roman" w:hAnsi="Times New Roman" w:cs="Times New Roman"/>
        </w:rPr>
        <w:t xml:space="preserve"> est court. </w:t>
      </w:r>
    </w:p>
    <w:p w:rsidR="004D7905" w:rsidRPr="004D7905" w:rsidRDefault="004D7905" w:rsidP="004D7905">
      <w:pPr>
        <w:spacing w:line="240" w:lineRule="auto"/>
        <w:rPr>
          <w:rFonts w:ascii="Times New Roman" w:hAnsi="Times New Roman" w:cs="Times New Roman"/>
          <w:b/>
        </w:rPr>
      </w:pPr>
      <w:r w:rsidRPr="004D7905">
        <w:rPr>
          <w:rFonts w:ascii="Times New Roman" w:hAnsi="Times New Roman" w:cs="Times New Roman"/>
          <w:b/>
        </w:rPr>
        <w:t>Matériel et Méthodes :</w:t>
      </w:r>
    </w:p>
    <w:p w:rsidR="004D7905" w:rsidRPr="004D7905" w:rsidRDefault="004D7905" w:rsidP="004D790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Trente patients explorés par une fi</w:t>
      </w:r>
      <w:r w:rsidRPr="004D7905">
        <w:rPr>
          <w:rFonts w:ascii="Times New Roman" w:hAnsi="Times New Roman" w:cs="Times New Roman"/>
        </w:rPr>
        <w:t xml:space="preserve">broscopie digestive haute et présentant un aspect endoscopique en faveur </w:t>
      </w:r>
      <w:proofErr w:type="spellStart"/>
      <w:r w:rsidRPr="004D7905">
        <w:rPr>
          <w:rFonts w:ascii="Times New Roman" w:hAnsi="Times New Roman" w:cs="Times New Roman"/>
        </w:rPr>
        <w:t>dʼun</w:t>
      </w:r>
      <w:proofErr w:type="spellEnd"/>
      <w:r w:rsidRPr="004D7905">
        <w:rPr>
          <w:rFonts w:ascii="Times New Roman" w:hAnsi="Times New Roman" w:cs="Times New Roman"/>
        </w:rPr>
        <w:t xml:space="preserve"> EBO ont été inclus. Lʼaspect de </w:t>
      </w:r>
      <w:proofErr w:type="spellStart"/>
      <w:r w:rsidRPr="004D7905">
        <w:rPr>
          <w:rFonts w:ascii="Times New Roman" w:hAnsi="Times New Roman" w:cs="Times New Roman"/>
        </w:rPr>
        <w:t>lʼEBO</w:t>
      </w:r>
      <w:proofErr w:type="spellEnd"/>
      <w:r w:rsidRPr="004D7905">
        <w:rPr>
          <w:rFonts w:ascii="Times New Roman" w:hAnsi="Times New Roman" w:cs="Times New Roman"/>
        </w:rPr>
        <w:t xml:space="preserve"> et sa longueur ont été relevés. </w:t>
      </w:r>
      <w:r>
        <w:rPr>
          <w:rFonts w:ascii="Times New Roman" w:hAnsi="Times New Roman" w:cs="Times New Roman"/>
        </w:rPr>
        <w:t>Vingt</w:t>
      </w:r>
      <w:r w:rsidR="00E54023">
        <w:rPr>
          <w:rFonts w:ascii="Times New Roman" w:hAnsi="Times New Roman" w:cs="Times New Roman"/>
        </w:rPr>
        <w:t xml:space="preserve"> et un </w:t>
      </w:r>
      <w:r>
        <w:rPr>
          <w:rFonts w:ascii="Times New Roman" w:hAnsi="Times New Roman" w:cs="Times New Roman"/>
        </w:rPr>
        <w:t xml:space="preserve"> </w:t>
      </w:r>
      <w:r w:rsidRPr="004D7905">
        <w:rPr>
          <w:rFonts w:ascii="Times New Roman" w:hAnsi="Times New Roman" w:cs="Times New Roman"/>
        </w:rPr>
        <w:t>patients avaient eu des biopsies. Lʼexistence dʼune métaplasie i</w:t>
      </w:r>
      <w:r>
        <w:rPr>
          <w:rFonts w:ascii="Times New Roman" w:hAnsi="Times New Roman" w:cs="Times New Roman"/>
        </w:rPr>
        <w:t>ntestinale à lʼhistologie confi</w:t>
      </w:r>
      <w:r w:rsidRPr="004D7905">
        <w:rPr>
          <w:rFonts w:ascii="Times New Roman" w:hAnsi="Times New Roman" w:cs="Times New Roman"/>
        </w:rPr>
        <w:t xml:space="preserve">rmait le diagnostic. </w:t>
      </w:r>
    </w:p>
    <w:p w:rsidR="004D7905" w:rsidRPr="004D7905" w:rsidRDefault="004D7905" w:rsidP="004D7905">
      <w:pPr>
        <w:spacing w:line="240" w:lineRule="auto"/>
        <w:rPr>
          <w:rFonts w:ascii="Times New Roman" w:hAnsi="Times New Roman" w:cs="Times New Roman"/>
          <w:b/>
        </w:rPr>
      </w:pPr>
      <w:r w:rsidRPr="004D7905">
        <w:rPr>
          <w:rFonts w:ascii="Times New Roman" w:hAnsi="Times New Roman" w:cs="Times New Roman"/>
          <w:b/>
        </w:rPr>
        <w:t>Résultats :</w:t>
      </w:r>
    </w:p>
    <w:p w:rsidR="004D7905" w:rsidRPr="004D7905" w:rsidRDefault="004D7905" w:rsidP="004D7905">
      <w:pPr>
        <w:spacing w:line="240" w:lineRule="auto"/>
        <w:rPr>
          <w:rFonts w:ascii="Times New Roman" w:hAnsi="Times New Roman" w:cs="Times New Roman"/>
        </w:rPr>
      </w:pPr>
      <w:r w:rsidRPr="004D7905">
        <w:rPr>
          <w:rFonts w:ascii="Times New Roman" w:hAnsi="Times New Roman" w:cs="Times New Roman"/>
        </w:rPr>
        <w:t>Lʼ</w:t>
      </w:r>
      <w:r>
        <w:rPr>
          <w:rFonts w:ascii="Times New Roman" w:hAnsi="Times New Roman" w:cs="Times New Roman"/>
        </w:rPr>
        <w:t>EBO présentait un aspect en flammèche dans 2</w:t>
      </w:r>
      <w:r w:rsidRPr="004D7905">
        <w:rPr>
          <w:rFonts w:ascii="Times New Roman" w:hAnsi="Times New Roman" w:cs="Times New Roman"/>
        </w:rPr>
        <w:t>1 c</w:t>
      </w:r>
      <w:r>
        <w:rPr>
          <w:rFonts w:ascii="Times New Roman" w:hAnsi="Times New Roman" w:cs="Times New Roman"/>
        </w:rPr>
        <w:t>as (70%) et en îlots dans 9 cas (30</w:t>
      </w:r>
      <w:r w:rsidRPr="004D7905">
        <w:rPr>
          <w:rFonts w:ascii="Times New Roman" w:hAnsi="Times New Roman" w:cs="Times New Roman"/>
        </w:rPr>
        <w:t>%). La longueur était en moyenne de 11,59 ± 13,00 mm [1-70 mm]. La métaplasie int</w:t>
      </w:r>
      <w:r>
        <w:rPr>
          <w:rFonts w:ascii="Times New Roman" w:hAnsi="Times New Roman" w:cs="Times New Roman"/>
        </w:rPr>
        <w:t>estinale était retrouvée dans 12</w:t>
      </w:r>
      <w:r w:rsidRPr="004D79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cas (40</w:t>
      </w:r>
      <w:r w:rsidRPr="004D7905">
        <w:rPr>
          <w:rFonts w:ascii="Times New Roman" w:hAnsi="Times New Roman" w:cs="Times New Roman"/>
        </w:rPr>
        <w:t xml:space="preserve"> %) et une dysplasie dans un cas. La métaplasie intestinale était retrouvée dans 30 % des cas lorsque </w:t>
      </w:r>
      <w:proofErr w:type="spellStart"/>
      <w:r w:rsidRPr="004D7905">
        <w:rPr>
          <w:rFonts w:ascii="Times New Roman" w:hAnsi="Times New Roman" w:cs="Times New Roman"/>
        </w:rPr>
        <w:t>lʼEBO</w:t>
      </w:r>
      <w:proofErr w:type="spellEnd"/>
      <w:r w:rsidRPr="004D7905">
        <w:rPr>
          <w:rFonts w:ascii="Times New Roman" w:hAnsi="Times New Roman" w:cs="Times New Roman"/>
        </w:rPr>
        <w:t xml:space="preserve"> faisait moins de 5 mm et dans aucun cas lorsque </w:t>
      </w:r>
      <w:proofErr w:type="spellStart"/>
      <w:r w:rsidRPr="004D7905">
        <w:rPr>
          <w:rFonts w:ascii="Times New Roman" w:hAnsi="Times New Roman" w:cs="Times New Roman"/>
        </w:rPr>
        <w:t>lʼEBO</w:t>
      </w:r>
      <w:proofErr w:type="spellEnd"/>
      <w:r w:rsidRPr="004D7905">
        <w:rPr>
          <w:rFonts w:ascii="Times New Roman" w:hAnsi="Times New Roman" w:cs="Times New Roman"/>
        </w:rPr>
        <w:t xml:space="preserve"> faisait moins de 3 mm. </w:t>
      </w:r>
    </w:p>
    <w:p w:rsidR="004D7905" w:rsidRPr="004D7905" w:rsidRDefault="004D7905" w:rsidP="004D7905">
      <w:pPr>
        <w:spacing w:line="240" w:lineRule="auto"/>
        <w:rPr>
          <w:rFonts w:ascii="Times New Roman" w:hAnsi="Times New Roman" w:cs="Times New Roman"/>
          <w:b/>
        </w:rPr>
      </w:pPr>
      <w:r w:rsidRPr="004D7905">
        <w:rPr>
          <w:rFonts w:ascii="Times New Roman" w:hAnsi="Times New Roman" w:cs="Times New Roman"/>
          <w:b/>
        </w:rPr>
        <w:t>Conclusion :</w:t>
      </w:r>
    </w:p>
    <w:p w:rsidR="00990F93" w:rsidRPr="004D7905" w:rsidRDefault="004D7905" w:rsidP="004D790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LʼEBO était confi</w:t>
      </w:r>
      <w:r w:rsidRPr="004D7905">
        <w:rPr>
          <w:rFonts w:ascii="Times New Roman" w:hAnsi="Times New Roman" w:cs="Times New Roman"/>
        </w:rPr>
        <w:t xml:space="preserve">rmé histologiquement seulement dans un tiers des cas lorsque la longueur était </w:t>
      </w:r>
      <w:proofErr w:type="gramStart"/>
      <w:r w:rsidRPr="004D7905">
        <w:rPr>
          <w:rFonts w:ascii="Times New Roman" w:hAnsi="Times New Roman" w:cs="Times New Roman"/>
        </w:rPr>
        <w:t>inférieure</w:t>
      </w:r>
      <w:proofErr w:type="gramEnd"/>
      <w:r w:rsidRPr="004D7905">
        <w:rPr>
          <w:rFonts w:ascii="Times New Roman" w:hAnsi="Times New Roman" w:cs="Times New Roman"/>
        </w:rPr>
        <w:t xml:space="preserve"> à 5 mm soulignant lʼimportance dʼutiliser les colorants vitaux à lʼendoscopie pour diriger les biopsies et les Méthodes </w:t>
      </w:r>
      <w:proofErr w:type="spellStart"/>
      <w:r w:rsidRPr="004D7905">
        <w:rPr>
          <w:rFonts w:ascii="Times New Roman" w:hAnsi="Times New Roman" w:cs="Times New Roman"/>
        </w:rPr>
        <w:t>immunohistochimiques</w:t>
      </w:r>
      <w:proofErr w:type="spellEnd"/>
      <w:r w:rsidRPr="004D7905">
        <w:rPr>
          <w:rFonts w:ascii="Times New Roman" w:hAnsi="Times New Roman" w:cs="Times New Roman"/>
        </w:rPr>
        <w:t>.</w:t>
      </w:r>
    </w:p>
    <w:sectPr w:rsidR="00990F93" w:rsidRPr="004D7905" w:rsidSect="00DC1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4D7905"/>
    <w:rsid w:val="004D7905"/>
    <w:rsid w:val="0050024B"/>
    <w:rsid w:val="00B4597B"/>
    <w:rsid w:val="00DC176C"/>
    <w:rsid w:val="00E54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7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2017-01-22T12:50:00Z</dcterms:created>
  <dcterms:modified xsi:type="dcterms:W3CDTF">2017-01-22T13:01:00Z</dcterms:modified>
</cp:coreProperties>
</file>