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07" w:rsidRPr="00B85127" w:rsidRDefault="008E5F07" w:rsidP="00B851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27">
        <w:rPr>
          <w:rFonts w:ascii="Times New Roman" w:hAnsi="Times New Roman" w:cs="Times New Roman"/>
          <w:b/>
          <w:sz w:val="24"/>
          <w:szCs w:val="24"/>
        </w:rPr>
        <w:t>MORBIDITE DES LIGATURES ENDOSCOPIQUES  DES VARICES OESOPHAGIENNES</w:t>
      </w:r>
    </w:p>
    <w:p w:rsidR="008E5F07" w:rsidRPr="008E5F07" w:rsidRDefault="008E5F07" w:rsidP="008E5F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F07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8E5F07" w:rsidRPr="008E5F07" w:rsidRDefault="008E5F07" w:rsidP="000352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F07">
        <w:rPr>
          <w:rFonts w:ascii="Times New Roman" w:hAnsi="Times New Roman" w:cs="Times New Roman"/>
          <w:sz w:val="24"/>
          <w:szCs w:val="24"/>
        </w:rPr>
        <w:t>La ligature endoscopique des varices est largement retenue comme le traitement optimal des varices œsophagiennes hémorragiques surtout dans les pays ou le recours aux</w:t>
      </w:r>
      <w:r w:rsidR="0003520E">
        <w:rPr>
          <w:rFonts w:ascii="Times New Roman" w:hAnsi="Times New Roman" w:cs="Times New Roman"/>
          <w:sz w:val="24"/>
          <w:szCs w:val="24"/>
        </w:rPr>
        <w:t xml:space="preserve"> drogues </w:t>
      </w:r>
      <w:proofErr w:type="spellStart"/>
      <w:r w:rsidR="0003520E">
        <w:rPr>
          <w:rFonts w:ascii="Times New Roman" w:hAnsi="Times New Roman" w:cs="Times New Roman"/>
          <w:sz w:val="24"/>
          <w:szCs w:val="24"/>
        </w:rPr>
        <w:t>vaso</w:t>
      </w:r>
      <w:proofErr w:type="spellEnd"/>
      <w:r w:rsidR="0003520E">
        <w:rPr>
          <w:rFonts w:ascii="Times New Roman" w:hAnsi="Times New Roman" w:cs="Times New Roman"/>
          <w:sz w:val="24"/>
          <w:szCs w:val="24"/>
        </w:rPr>
        <w:t>-actives est diffi</w:t>
      </w:r>
      <w:r w:rsidRPr="008E5F07">
        <w:rPr>
          <w:rFonts w:ascii="Times New Roman" w:hAnsi="Times New Roman" w:cs="Times New Roman"/>
          <w:sz w:val="24"/>
          <w:szCs w:val="24"/>
        </w:rPr>
        <w:t>cile.</w:t>
      </w:r>
    </w:p>
    <w:p w:rsidR="008E5F07" w:rsidRPr="008E5F07" w:rsidRDefault="008E5F07" w:rsidP="008E5F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F07">
        <w:rPr>
          <w:rFonts w:ascii="Times New Roman" w:hAnsi="Times New Roman" w:cs="Times New Roman"/>
          <w:b/>
          <w:sz w:val="24"/>
          <w:szCs w:val="24"/>
        </w:rPr>
        <w:t>But :</w:t>
      </w:r>
    </w:p>
    <w:p w:rsidR="0003520E" w:rsidRDefault="008E5F07" w:rsidP="008E5F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F07">
        <w:rPr>
          <w:rFonts w:ascii="Times New Roman" w:hAnsi="Times New Roman" w:cs="Times New Roman"/>
          <w:sz w:val="24"/>
          <w:szCs w:val="24"/>
        </w:rPr>
        <w:t xml:space="preserve">Étudier la morbidité de la ligature élastique dans le traitement de lʼhémorragie par rupture des varices œsophagiennes chez les patients porteurs dʼhypertension portale au sein du CHU </w:t>
      </w:r>
    </w:p>
    <w:p w:rsidR="008E5F07" w:rsidRPr="008E5F07" w:rsidRDefault="008E5F07" w:rsidP="008E5F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F07">
        <w:rPr>
          <w:rFonts w:ascii="Times New Roman" w:hAnsi="Times New Roman" w:cs="Times New Roman"/>
          <w:b/>
          <w:sz w:val="24"/>
          <w:szCs w:val="24"/>
        </w:rPr>
        <w:t>Matériel et Méthodes :</w:t>
      </w:r>
    </w:p>
    <w:p w:rsidR="008E5F07" w:rsidRPr="008E5F07" w:rsidRDefault="008E5F07" w:rsidP="008E5F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F07">
        <w:rPr>
          <w:rFonts w:ascii="Times New Roman" w:hAnsi="Times New Roman" w:cs="Times New Roman"/>
          <w:sz w:val="24"/>
          <w:szCs w:val="24"/>
        </w:rPr>
        <w:t>Il s'agit d'une étude rétrospective, étalée sur 10 an</w:t>
      </w:r>
      <w:r w:rsidR="0003520E">
        <w:rPr>
          <w:rFonts w:ascii="Times New Roman" w:hAnsi="Times New Roman" w:cs="Times New Roman"/>
          <w:sz w:val="24"/>
          <w:szCs w:val="24"/>
        </w:rPr>
        <w:t>s (décembre 2006–octobre 2016</w:t>
      </w:r>
      <w:r w:rsidRPr="008E5F07">
        <w:rPr>
          <w:rFonts w:ascii="Times New Roman" w:hAnsi="Times New Roman" w:cs="Times New Roman"/>
          <w:sz w:val="24"/>
          <w:szCs w:val="24"/>
        </w:rPr>
        <w:t>). Tous les patients présentant une hypertension portale compliquée dʼhémorragie digestive par rupture de varice</w:t>
      </w:r>
      <w:r w:rsidR="00B85127">
        <w:rPr>
          <w:rFonts w:ascii="Times New Roman" w:hAnsi="Times New Roman" w:cs="Times New Roman"/>
          <w:sz w:val="24"/>
          <w:szCs w:val="24"/>
        </w:rPr>
        <w:t>s œsophagiennes et ayant bénéfi</w:t>
      </w:r>
      <w:r w:rsidRPr="008E5F07">
        <w:rPr>
          <w:rFonts w:ascii="Times New Roman" w:hAnsi="Times New Roman" w:cs="Times New Roman"/>
          <w:sz w:val="24"/>
          <w:szCs w:val="24"/>
        </w:rPr>
        <w:t xml:space="preserve">cié dʼune ligature élastique hémostatique ont été inclus dans </w:t>
      </w:r>
      <w:proofErr w:type="spellStart"/>
      <w:r w:rsidR="00B85127">
        <w:rPr>
          <w:rFonts w:ascii="Times New Roman" w:hAnsi="Times New Roman" w:cs="Times New Roman"/>
          <w:sz w:val="24"/>
          <w:szCs w:val="24"/>
        </w:rPr>
        <w:t>l</w:t>
      </w:r>
      <w:r w:rsidR="00B85127" w:rsidRPr="008E5F07">
        <w:rPr>
          <w:rFonts w:ascii="Times New Roman" w:hAnsi="Times New Roman" w:cs="Times New Roman"/>
          <w:sz w:val="24"/>
          <w:szCs w:val="24"/>
        </w:rPr>
        <w:t>ʼétude</w:t>
      </w:r>
      <w:proofErr w:type="spellEnd"/>
      <w:r w:rsidRPr="008E5F07">
        <w:rPr>
          <w:rFonts w:ascii="Times New Roman" w:hAnsi="Times New Roman" w:cs="Times New Roman"/>
          <w:sz w:val="24"/>
          <w:szCs w:val="24"/>
        </w:rPr>
        <w:t xml:space="preserve">. On avait étudié le taux de récidive hémorragique précoce (survenue dans les 24 heures, après la mise en place dʼanneaux élastiques, dʼune nouvelle hématémèse ou méléna associés à des signes dʼinstabilité hémodynamique ou de diminution des taux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F07">
        <w:rPr>
          <w:rFonts w:ascii="Times New Roman" w:hAnsi="Times New Roman" w:cs="Times New Roman"/>
          <w:sz w:val="24"/>
          <w:szCs w:val="24"/>
        </w:rPr>
        <w:t xml:space="preserve">dʼhématocrite et dʼhémoglobine) et tardive (récidive hémorragique après 24 heures), le taux de complications et de mortalité. </w:t>
      </w:r>
    </w:p>
    <w:p w:rsidR="008E5F07" w:rsidRPr="008E5F07" w:rsidRDefault="008E5F07" w:rsidP="008E5F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F07">
        <w:rPr>
          <w:rFonts w:ascii="Times New Roman" w:hAnsi="Times New Roman" w:cs="Times New Roman"/>
          <w:b/>
          <w:sz w:val="24"/>
          <w:szCs w:val="24"/>
        </w:rPr>
        <w:t>Résultats :</w:t>
      </w:r>
    </w:p>
    <w:p w:rsidR="008E5F07" w:rsidRPr="008E5F07" w:rsidRDefault="008E5F07" w:rsidP="008E5F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F07">
        <w:rPr>
          <w:rFonts w:ascii="Times New Roman" w:hAnsi="Times New Roman" w:cs="Times New Roman"/>
          <w:sz w:val="24"/>
          <w:szCs w:val="24"/>
        </w:rPr>
        <w:t xml:space="preserve">Deux cents soixante huit patients étaient inclus dans </w:t>
      </w:r>
      <w:proofErr w:type="spellStart"/>
      <w:r w:rsidRPr="008E5F07">
        <w:rPr>
          <w:rFonts w:ascii="Times New Roman" w:hAnsi="Times New Roman" w:cs="Times New Roman"/>
          <w:sz w:val="24"/>
          <w:szCs w:val="24"/>
        </w:rPr>
        <w:t>lʼétude</w:t>
      </w:r>
      <w:proofErr w:type="spellEnd"/>
      <w:r w:rsidRPr="008E5F07">
        <w:rPr>
          <w:rFonts w:ascii="Times New Roman" w:hAnsi="Times New Roman" w:cs="Times New Roman"/>
          <w:sz w:val="24"/>
          <w:szCs w:val="24"/>
        </w:rPr>
        <w:t xml:space="preserve"> et  </w:t>
      </w:r>
      <w:r w:rsidR="0003520E" w:rsidRPr="0003520E">
        <w:rPr>
          <w:rFonts w:ascii="Times New Roman" w:hAnsi="Times New Roman" w:cs="Times New Roman"/>
          <w:sz w:val="24"/>
          <w:szCs w:val="24"/>
        </w:rPr>
        <w:t>670</w:t>
      </w:r>
      <w:r w:rsidR="0003520E">
        <w:rPr>
          <w:rFonts w:ascii="Times New Roman" w:hAnsi="Times New Roman" w:cs="Times New Roman"/>
          <w:sz w:val="24"/>
          <w:szCs w:val="24"/>
        </w:rPr>
        <w:t xml:space="preserve"> </w:t>
      </w:r>
      <w:r w:rsidRPr="008E5F07">
        <w:rPr>
          <w:rFonts w:ascii="Times New Roman" w:hAnsi="Times New Roman" w:cs="Times New Roman"/>
          <w:sz w:val="24"/>
          <w:szCs w:val="24"/>
        </w:rPr>
        <w:t xml:space="preserve">ligatures hémostatiques étaient réalisées. </w:t>
      </w:r>
      <w:proofErr w:type="spellStart"/>
      <w:r w:rsidRPr="008E5F07">
        <w:rPr>
          <w:rFonts w:ascii="Times New Roman" w:hAnsi="Times New Roman" w:cs="Times New Roman"/>
          <w:sz w:val="24"/>
          <w:szCs w:val="24"/>
        </w:rPr>
        <w:t>Lʼâge</w:t>
      </w:r>
      <w:proofErr w:type="spellEnd"/>
      <w:r w:rsidRPr="008E5F07">
        <w:rPr>
          <w:rFonts w:ascii="Times New Roman" w:hAnsi="Times New Roman" w:cs="Times New Roman"/>
          <w:sz w:val="24"/>
          <w:szCs w:val="24"/>
        </w:rPr>
        <w:t xml:space="preserve"> moyen était de </w:t>
      </w:r>
      <w:r w:rsidR="0003520E">
        <w:rPr>
          <w:rFonts w:ascii="Times New Roman" w:hAnsi="Times New Roman" w:cs="Times New Roman"/>
          <w:sz w:val="24"/>
          <w:szCs w:val="24"/>
        </w:rPr>
        <w:t xml:space="preserve">49 </w:t>
      </w:r>
      <w:r w:rsidRPr="008E5F07">
        <w:rPr>
          <w:rFonts w:ascii="Times New Roman" w:hAnsi="Times New Roman" w:cs="Times New Roman"/>
          <w:sz w:val="24"/>
          <w:szCs w:val="24"/>
        </w:rPr>
        <w:t xml:space="preserve"> ans [16-89] et sex-ratio H/F de 1,2. Lʼhémostase primaire par ligature des varices </w:t>
      </w:r>
      <w:proofErr w:type="spellStart"/>
      <w:r w:rsidRPr="008E5F07">
        <w:rPr>
          <w:rFonts w:ascii="Times New Roman" w:hAnsi="Times New Roman" w:cs="Times New Roman"/>
          <w:sz w:val="24"/>
          <w:szCs w:val="24"/>
        </w:rPr>
        <w:t>oesophagienne</w:t>
      </w:r>
      <w:proofErr w:type="spellEnd"/>
      <w:r w:rsidRPr="008E5F07">
        <w:rPr>
          <w:rFonts w:ascii="Times New Roman" w:hAnsi="Times New Roman" w:cs="Times New Roman"/>
          <w:sz w:val="24"/>
          <w:szCs w:val="24"/>
        </w:rPr>
        <w:t xml:space="preserve"> était de 95,4 %, lʼéchec dʼhémostase endoscopique a été de 4,6 %. On a noté une récidive hémorragique précoce dans 8 % des cas et tardive dans 4,5 % des cas </w:t>
      </w:r>
      <w:r w:rsidR="0003520E">
        <w:rPr>
          <w:rFonts w:ascii="Times New Roman" w:hAnsi="Times New Roman" w:cs="Times New Roman"/>
          <w:sz w:val="24"/>
          <w:szCs w:val="24"/>
        </w:rPr>
        <w:t>.</w:t>
      </w:r>
      <w:r w:rsidRPr="008E5F07">
        <w:rPr>
          <w:rFonts w:ascii="Times New Roman" w:hAnsi="Times New Roman" w:cs="Times New Roman"/>
          <w:sz w:val="24"/>
          <w:szCs w:val="24"/>
        </w:rPr>
        <w:t>Nous avons noté des douleurs rétro s</w:t>
      </w:r>
      <w:r w:rsidR="0003520E">
        <w:rPr>
          <w:rFonts w:ascii="Times New Roman" w:hAnsi="Times New Roman" w:cs="Times New Roman"/>
          <w:sz w:val="24"/>
          <w:szCs w:val="24"/>
        </w:rPr>
        <w:t>ternales chez 22% des patients, une fi</w:t>
      </w:r>
      <w:r w:rsidRPr="008E5F07">
        <w:rPr>
          <w:rFonts w:ascii="Times New Roman" w:hAnsi="Times New Roman" w:cs="Times New Roman"/>
          <w:sz w:val="24"/>
          <w:szCs w:val="24"/>
        </w:rPr>
        <w:t>èvre dans 4</w:t>
      </w:r>
      <w:r w:rsidR="00B85127" w:rsidRPr="008E5F07">
        <w:rPr>
          <w:rFonts w:ascii="Times New Roman" w:hAnsi="Times New Roman" w:cs="Times New Roman"/>
          <w:sz w:val="24"/>
          <w:szCs w:val="24"/>
        </w:rPr>
        <w:t>%, une</w:t>
      </w:r>
      <w:r w:rsidRPr="008E5F07">
        <w:rPr>
          <w:rFonts w:ascii="Times New Roman" w:hAnsi="Times New Roman" w:cs="Times New Roman"/>
          <w:sz w:val="24"/>
          <w:szCs w:val="24"/>
        </w:rPr>
        <w:t xml:space="preserve"> dysphagie chez 5</w:t>
      </w:r>
      <w:proofErr w:type="gramStart"/>
      <w:r w:rsidRPr="008E5F07">
        <w:rPr>
          <w:rFonts w:ascii="Times New Roman" w:hAnsi="Times New Roman" w:cs="Times New Roman"/>
          <w:sz w:val="24"/>
          <w:szCs w:val="24"/>
        </w:rPr>
        <w:t xml:space="preserve">% </w:t>
      </w:r>
      <w:r w:rsidR="0003520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3520E">
        <w:rPr>
          <w:rFonts w:ascii="Times New Roman" w:hAnsi="Times New Roman" w:cs="Times New Roman"/>
          <w:sz w:val="24"/>
          <w:szCs w:val="24"/>
        </w:rPr>
        <w:t xml:space="preserve"> une hémorragie chez 7% </w:t>
      </w:r>
      <w:r w:rsidRPr="008E5F07">
        <w:rPr>
          <w:rFonts w:ascii="Times New Roman" w:hAnsi="Times New Roman" w:cs="Times New Roman"/>
          <w:sz w:val="24"/>
          <w:szCs w:val="24"/>
        </w:rPr>
        <w:t>. Le taux des ulcères œsophagiens seconda</w:t>
      </w:r>
      <w:r w:rsidR="0003520E">
        <w:rPr>
          <w:rFonts w:ascii="Times New Roman" w:hAnsi="Times New Roman" w:cs="Times New Roman"/>
          <w:sz w:val="24"/>
          <w:szCs w:val="24"/>
        </w:rPr>
        <w:t>ire à la ligature était de 15 %</w:t>
      </w:r>
      <w:r w:rsidRPr="008E5F07">
        <w:rPr>
          <w:rFonts w:ascii="Times New Roman" w:hAnsi="Times New Roman" w:cs="Times New Roman"/>
          <w:sz w:val="24"/>
          <w:szCs w:val="24"/>
        </w:rPr>
        <w:t>. Le taux de</w:t>
      </w:r>
      <w:r w:rsidR="0003520E">
        <w:rPr>
          <w:rFonts w:ascii="Times New Roman" w:hAnsi="Times New Roman" w:cs="Times New Roman"/>
          <w:sz w:val="24"/>
          <w:szCs w:val="24"/>
        </w:rPr>
        <w:t xml:space="preserve"> mortalité a été de 11 </w:t>
      </w:r>
      <w:r w:rsidR="00B85127">
        <w:rPr>
          <w:rFonts w:ascii="Times New Roman" w:hAnsi="Times New Roman" w:cs="Times New Roman"/>
          <w:sz w:val="24"/>
          <w:szCs w:val="24"/>
        </w:rPr>
        <w:t>%,</w:t>
      </w:r>
      <w:r w:rsidRPr="008E5F07">
        <w:rPr>
          <w:rFonts w:ascii="Times New Roman" w:hAnsi="Times New Roman" w:cs="Times New Roman"/>
          <w:sz w:val="24"/>
          <w:szCs w:val="24"/>
        </w:rPr>
        <w:t xml:space="preserve"> elle était secondaire </w:t>
      </w:r>
      <w:r w:rsidR="0003520E">
        <w:rPr>
          <w:rFonts w:ascii="Times New Roman" w:hAnsi="Times New Roman" w:cs="Times New Roman"/>
          <w:sz w:val="24"/>
          <w:szCs w:val="24"/>
        </w:rPr>
        <w:t xml:space="preserve">à lʼhémorragie dans 6,3 </w:t>
      </w:r>
      <w:r w:rsidR="00B85127">
        <w:rPr>
          <w:rFonts w:ascii="Times New Roman" w:hAnsi="Times New Roman" w:cs="Times New Roman"/>
          <w:sz w:val="24"/>
          <w:szCs w:val="24"/>
        </w:rPr>
        <w:t>%,</w:t>
      </w:r>
      <w:r w:rsidRPr="008E5F07">
        <w:rPr>
          <w:rFonts w:ascii="Times New Roman" w:hAnsi="Times New Roman" w:cs="Times New Roman"/>
          <w:sz w:val="24"/>
          <w:szCs w:val="24"/>
        </w:rPr>
        <w:t xml:space="preserve"> à une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20E">
        <w:rPr>
          <w:rFonts w:ascii="Times New Roman" w:hAnsi="Times New Roman" w:cs="Times New Roman"/>
          <w:sz w:val="24"/>
          <w:szCs w:val="24"/>
        </w:rPr>
        <w:t>insuffi</w:t>
      </w:r>
      <w:r w:rsidRPr="008E5F07">
        <w:rPr>
          <w:rFonts w:ascii="Times New Roman" w:hAnsi="Times New Roman" w:cs="Times New Roman"/>
          <w:sz w:val="24"/>
          <w:szCs w:val="24"/>
        </w:rPr>
        <w:t>sance hé</w:t>
      </w:r>
      <w:r w:rsidR="0003520E">
        <w:rPr>
          <w:rFonts w:ascii="Times New Roman" w:hAnsi="Times New Roman" w:cs="Times New Roman"/>
          <w:sz w:val="24"/>
          <w:szCs w:val="24"/>
        </w:rPr>
        <w:t xml:space="preserve">patocellulaire dans 2,4 </w:t>
      </w:r>
      <w:r w:rsidR="00B85127">
        <w:rPr>
          <w:rFonts w:ascii="Times New Roman" w:hAnsi="Times New Roman" w:cs="Times New Roman"/>
          <w:sz w:val="24"/>
          <w:szCs w:val="24"/>
        </w:rPr>
        <w:t>%,</w:t>
      </w:r>
      <w:r w:rsidRPr="008E5F07">
        <w:rPr>
          <w:rFonts w:ascii="Times New Roman" w:hAnsi="Times New Roman" w:cs="Times New Roman"/>
          <w:sz w:val="24"/>
          <w:szCs w:val="24"/>
        </w:rPr>
        <w:t xml:space="preserve"> au carcinome hép</w:t>
      </w:r>
      <w:r w:rsidR="0003520E">
        <w:rPr>
          <w:rFonts w:ascii="Times New Roman" w:hAnsi="Times New Roman" w:cs="Times New Roman"/>
          <w:sz w:val="24"/>
          <w:szCs w:val="24"/>
        </w:rPr>
        <w:t xml:space="preserve">atocellulaire dans 0,6 %  </w:t>
      </w:r>
      <w:r w:rsidRPr="008E5F07">
        <w:rPr>
          <w:rFonts w:ascii="Times New Roman" w:hAnsi="Times New Roman" w:cs="Times New Roman"/>
          <w:sz w:val="24"/>
          <w:szCs w:val="24"/>
        </w:rPr>
        <w:t>et à lʼinfection du liquide dʼascite dans 1,</w:t>
      </w:r>
      <w:r w:rsidR="0003520E">
        <w:rPr>
          <w:rFonts w:ascii="Times New Roman" w:hAnsi="Times New Roman" w:cs="Times New Roman"/>
          <w:sz w:val="24"/>
          <w:szCs w:val="24"/>
        </w:rPr>
        <w:t xml:space="preserve">04 </w:t>
      </w:r>
      <w:r w:rsidR="00B8512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8E5F07" w:rsidRPr="008E5F07" w:rsidRDefault="008E5F07" w:rsidP="008E5F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F07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8E5F07" w:rsidRDefault="008E5F07" w:rsidP="008E5F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F07">
        <w:rPr>
          <w:rFonts w:ascii="Times New Roman" w:hAnsi="Times New Roman" w:cs="Times New Roman"/>
          <w:sz w:val="24"/>
          <w:szCs w:val="24"/>
        </w:rPr>
        <w:t xml:space="preserve">La ligature élastique des varices œsophagiennes est une Méthodes de choix dans lʼhémostase des hémorragies digestives par rupture des varices </w:t>
      </w:r>
      <w:proofErr w:type="spellStart"/>
      <w:r w:rsidRPr="008E5F07">
        <w:rPr>
          <w:rFonts w:ascii="Times New Roman" w:hAnsi="Times New Roman" w:cs="Times New Roman"/>
          <w:sz w:val="24"/>
          <w:szCs w:val="24"/>
        </w:rPr>
        <w:t>oesophagiennes</w:t>
      </w:r>
      <w:proofErr w:type="spellEnd"/>
      <w:r w:rsidRPr="008E5F07">
        <w:rPr>
          <w:rFonts w:ascii="Times New Roman" w:hAnsi="Times New Roman" w:cs="Times New Roman"/>
          <w:sz w:val="24"/>
          <w:szCs w:val="24"/>
        </w:rPr>
        <w:t xml:space="preserve"> surtout en absence de drogues </w:t>
      </w:r>
      <w:proofErr w:type="spellStart"/>
      <w:r w:rsidRPr="008E5F07">
        <w:rPr>
          <w:rFonts w:ascii="Times New Roman" w:hAnsi="Times New Roman" w:cs="Times New Roman"/>
          <w:sz w:val="24"/>
          <w:szCs w:val="24"/>
        </w:rPr>
        <w:t>vaso</w:t>
      </w:r>
      <w:proofErr w:type="spellEnd"/>
      <w:r w:rsidRPr="008E5F07">
        <w:rPr>
          <w:rFonts w:ascii="Times New Roman" w:hAnsi="Times New Roman" w:cs="Times New Roman"/>
          <w:sz w:val="24"/>
          <w:szCs w:val="24"/>
        </w:rPr>
        <w:t xml:space="preserve">-actives avec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5F07">
        <w:rPr>
          <w:rFonts w:ascii="Times New Roman" w:hAnsi="Times New Roman" w:cs="Times New Roman"/>
          <w:sz w:val="24"/>
          <w:szCs w:val="24"/>
        </w:rPr>
        <w:t>une tolérance clinique acceptable.</w:t>
      </w:r>
    </w:p>
    <w:sectPr w:rsidR="00990F93" w:rsidRPr="008E5F07" w:rsidSect="00135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8E5F07"/>
    <w:rsid w:val="0003520E"/>
    <w:rsid w:val="0013532F"/>
    <w:rsid w:val="00412076"/>
    <w:rsid w:val="0050024B"/>
    <w:rsid w:val="008E5F07"/>
    <w:rsid w:val="00B4597B"/>
    <w:rsid w:val="00B85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F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2017-01-06T20:45:00Z</dcterms:created>
  <dcterms:modified xsi:type="dcterms:W3CDTF">2017-01-11T12:06:00Z</dcterms:modified>
</cp:coreProperties>
</file>