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BB" w:rsidRDefault="00631BBB" w:rsidP="00631BBB">
      <w:pPr>
        <w:rPr>
          <w:rFonts w:ascii="Times New Roman" w:hAnsi="Times New Roman" w:cs="Times New Roman"/>
          <w:b/>
          <w:sz w:val="24"/>
          <w:szCs w:val="24"/>
        </w:rPr>
      </w:pPr>
      <w:r w:rsidRPr="00DE301F">
        <w:rPr>
          <w:rFonts w:ascii="Times New Roman" w:hAnsi="Times New Roman" w:cs="Times New Roman"/>
          <w:b/>
          <w:sz w:val="24"/>
          <w:szCs w:val="24"/>
        </w:rPr>
        <w:t>LE SYNDROME DE LA PINCE MESENTERIQUE : CAUSE RARE DE VOMISSEMENTS INEXPLIQUES</w:t>
      </w:r>
    </w:p>
    <w:p w:rsidR="00DE301F" w:rsidRPr="00DE301F" w:rsidRDefault="00DE301F" w:rsidP="00631BBB">
      <w:pPr>
        <w:rPr>
          <w:rFonts w:ascii="Times New Roman" w:hAnsi="Times New Roman" w:cs="Times New Roman"/>
          <w:b/>
          <w:sz w:val="24"/>
          <w:szCs w:val="24"/>
        </w:rPr>
      </w:pPr>
    </w:p>
    <w:p w:rsidR="00631BBB" w:rsidRPr="00DE301F" w:rsidRDefault="00631BBB" w:rsidP="00631BBB">
      <w:pPr>
        <w:rPr>
          <w:rFonts w:ascii="Times New Roman" w:hAnsi="Times New Roman" w:cs="Times New Roman"/>
          <w:b/>
          <w:sz w:val="24"/>
          <w:szCs w:val="24"/>
        </w:rPr>
      </w:pPr>
      <w:r w:rsidRPr="00DE301F">
        <w:rPr>
          <w:rFonts w:ascii="Times New Roman" w:hAnsi="Times New Roman" w:cs="Times New Roman"/>
          <w:b/>
          <w:sz w:val="24"/>
          <w:szCs w:val="24"/>
        </w:rPr>
        <w:t>Introduction :</w:t>
      </w:r>
    </w:p>
    <w:p w:rsidR="00631BBB" w:rsidRPr="00DE301F" w:rsidRDefault="00631BBB" w:rsidP="00631BBB">
      <w:pPr>
        <w:rPr>
          <w:rFonts w:ascii="Times New Roman" w:hAnsi="Times New Roman" w:cs="Times New Roman"/>
          <w:sz w:val="24"/>
          <w:szCs w:val="24"/>
        </w:rPr>
      </w:pPr>
      <w:r w:rsidRPr="00DE301F">
        <w:rPr>
          <w:rFonts w:ascii="Times New Roman" w:hAnsi="Times New Roman" w:cs="Times New Roman"/>
          <w:sz w:val="24"/>
          <w:szCs w:val="24"/>
        </w:rPr>
        <w:t xml:space="preserve">Le syndrome de la pince </w:t>
      </w:r>
      <w:proofErr w:type="spellStart"/>
      <w:r w:rsidRPr="00DE301F">
        <w:rPr>
          <w:rFonts w:ascii="Times New Roman" w:hAnsi="Times New Roman" w:cs="Times New Roman"/>
          <w:sz w:val="24"/>
          <w:szCs w:val="24"/>
        </w:rPr>
        <w:t>aorto</w:t>
      </w:r>
      <w:proofErr w:type="spellEnd"/>
      <w:r w:rsidRPr="00DE301F">
        <w:rPr>
          <w:rFonts w:ascii="Times New Roman" w:hAnsi="Times New Roman" w:cs="Times New Roman"/>
          <w:sz w:val="24"/>
          <w:szCs w:val="24"/>
        </w:rPr>
        <w:t xml:space="preserve">-mésentérique (SAMS) ou syndrome de </w:t>
      </w:r>
      <w:proofErr w:type="spellStart"/>
      <w:r w:rsidRPr="00DE301F">
        <w:rPr>
          <w:rFonts w:ascii="Times New Roman" w:hAnsi="Times New Roman" w:cs="Times New Roman"/>
          <w:sz w:val="24"/>
          <w:szCs w:val="24"/>
        </w:rPr>
        <w:t>Wilkie</w:t>
      </w:r>
      <w:proofErr w:type="spellEnd"/>
      <w:r w:rsidRPr="00DE301F">
        <w:rPr>
          <w:rFonts w:ascii="Times New Roman" w:hAnsi="Times New Roman" w:cs="Times New Roman"/>
          <w:sz w:val="24"/>
          <w:szCs w:val="24"/>
        </w:rPr>
        <w:t xml:space="preserve"> est une forme rare dʼobstruction duodénale haute due à une compression extrinsèque du troisième duodénum par la pince mésentérique. </w:t>
      </w:r>
    </w:p>
    <w:p w:rsidR="00631BBB" w:rsidRPr="00DE301F" w:rsidRDefault="00631BBB" w:rsidP="00631BBB">
      <w:pPr>
        <w:rPr>
          <w:rFonts w:ascii="Times New Roman" w:hAnsi="Times New Roman" w:cs="Times New Roman"/>
          <w:b/>
          <w:sz w:val="24"/>
          <w:szCs w:val="24"/>
        </w:rPr>
      </w:pPr>
      <w:r w:rsidRPr="00DE301F">
        <w:rPr>
          <w:rFonts w:ascii="Times New Roman" w:hAnsi="Times New Roman" w:cs="Times New Roman"/>
          <w:b/>
          <w:sz w:val="24"/>
          <w:szCs w:val="24"/>
        </w:rPr>
        <w:t>Matériel et Méthodes :</w:t>
      </w:r>
    </w:p>
    <w:p w:rsidR="00631BBB" w:rsidRPr="00DE301F" w:rsidRDefault="00631BBB" w:rsidP="00631BBB">
      <w:pPr>
        <w:rPr>
          <w:rFonts w:ascii="Times New Roman" w:hAnsi="Times New Roman" w:cs="Times New Roman"/>
          <w:sz w:val="24"/>
          <w:szCs w:val="24"/>
        </w:rPr>
      </w:pPr>
      <w:r w:rsidRPr="00DE301F">
        <w:rPr>
          <w:rFonts w:ascii="Times New Roman" w:hAnsi="Times New Roman" w:cs="Times New Roman"/>
          <w:sz w:val="24"/>
          <w:szCs w:val="24"/>
        </w:rPr>
        <w:t xml:space="preserve"> Nous rapportons </w:t>
      </w:r>
      <w:r w:rsidR="00DE301F">
        <w:rPr>
          <w:rFonts w:ascii="Times New Roman" w:hAnsi="Times New Roman" w:cs="Times New Roman"/>
          <w:sz w:val="24"/>
          <w:szCs w:val="24"/>
        </w:rPr>
        <w:t xml:space="preserve"> </w:t>
      </w:r>
      <w:r w:rsidRPr="00DE301F">
        <w:rPr>
          <w:rFonts w:ascii="Times New Roman" w:hAnsi="Times New Roman" w:cs="Times New Roman"/>
          <w:sz w:val="24"/>
          <w:szCs w:val="24"/>
        </w:rPr>
        <w:t xml:space="preserve">un   cas de syndrome de  la pince mésentérique </w:t>
      </w:r>
    </w:p>
    <w:p w:rsidR="00631BBB" w:rsidRPr="00DE301F" w:rsidRDefault="00631BBB" w:rsidP="00631BBB">
      <w:pPr>
        <w:rPr>
          <w:rFonts w:ascii="Times New Roman" w:hAnsi="Times New Roman" w:cs="Times New Roman"/>
          <w:b/>
          <w:sz w:val="24"/>
          <w:szCs w:val="24"/>
        </w:rPr>
      </w:pPr>
      <w:r w:rsidRPr="00DE301F">
        <w:rPr>
          <w:rFonts w:ascii="Times New Roman" w:hAnsi="Times New Roman" w:cs="Times New Roman"/>
          <w:b/>
          <w:sz w:val="24"/>
          <w:szCs w:val="24"/>
        </w:rPr>
        <w:t>Observations :</w:t>
      </w:r>
    </w:p>
    <w:p w:rsidR="00631BBB" w:rsidRPr="00DE301F" w:rsidRDefault="00631BBB" w:rsidP="00631BBB">
      <w:pPr>
        <w:rPr>
          <w:rFonts w:ascii="Times New Roman" w:hAnsi="Times New Roman" w:cs="Times New Roman"/>
          <w:sz w:val="24"/>
          <w:szCs w:val="24"/>
        </w:rPr>
      </w:pPr>
      <w:r w:rsidRPr="00DE301F">
        <w:rPr>
          <w:rFonts w:ascii="Times New Roman" w:hAnsi="Times New Roman" w:cs="Times New Roman"/>
          <w:sz w:val="24"/>
          <w:szCs w:val="24"/>
        </w:rPr>
        <w:t xml:space="preserve">Un </w:t>
      </w:r>
      <w:r w:rsidR="00DE301F" w:rsidRPr="00DE301F">
        <w:rPr>
          <w:rFonts w:ascii="Times New Roman" w:hAnsi="Times New Roman" w:cs="Times New Roman"/>
          <w:sz w:val="24"/>
          <w:szCs w:val="24"/>
        </w:rPr>
        <w:t>homme âgé</w:t>
      </w:r>
      <w:r w:rsidRPr="00DE301F">
        <w:rPr>
          <w:rFonts w:ascii="Times New Roman" w:hAnsi="Times New Roman" w:cs="Times New Roman"/>
          <w:sz w:val="24"/>
          <w:szCs w:val="24"/>
        </w:rPr>
        <w:t xml:space="preserve"> de </w:t>
      </w:r>
      <w:r w:rsidR="00DE301F" w:rsidRPr="00DE301F">
        <w:rPr>
          <w:rFonts w:ascii="Times New Roman" w:hAnsi="Times New Roman" w:cs="Times New Roman"/>
          <w:sz w:val="24"/>
          <w:szCs w:val="24"/>
        </w:rPr>
        <w:t>32 ans, admis</w:t>
      </w:r>
      <w:r w:rsidRPr="00DE301F">
        <w:rPr>
          <w:rFonts w:ascii="Times New Roman" w:hAnsi="Times New Roman" w:cs="Times New Roman"/>
          <w:sz w:val="24"/>
          <w:szCs w:val="24"/>
        </w:rPr>
        <w:t xml:space="preserve"> en </w:t>
      </w:r>
      <w:r w:rsidR="00DE301F">
        <w:rPr>
          <w:rFonts w:ascii="Times New Roman" w:hAnsi="Times New Roman" w:cs="Times New Roman"/>
          <w:sz w:val="24"/>
          <w:szCs w:val="24"/>
        </w:rPr>
        <w:t xml:space="preserve">Décembre </w:t>
      </w:r>
      <w:r w:rsidRPr="00DE301F">
        <w:rPr>
          <w:rFonts w:ascii="Times New Roman" w:hAnsi="Times New Roman" w:cs="Times New Roman"/>
          <w:sz w:val="24"/>
          <w:szCs w:val="24"/>
        </w:rPr>
        <w:t xml:space="preserve">2015 pour </w:t>
      </w:r>
      <w:proofErr w:type="spellStart"/>
      <w:r w:rsidRPr="00DE301F">
        <w:rPr>
          <w:rFonts w:ascii="Times New Roman" w:hAnsi="Times New Roman" w:cs="Times New Roman"/>
          <w:sz w:val="24"/>
          <w:szCs w:val="24"/>
        </w:rPr>
        <w:t>épigastralgies</w:t>
      </w:r>
      <w:proofErr w:type="spellEnd"/>
      <w:r w:rsidRPr="00DE301F">
        <w:rPr>
          <w:rFonts w:ascii="Times New Roman" w:hAnsi="Times New Roman" w:cs="Times New Roman"/>
          <w:sz w:val="24"/>
          <w:szCs w:val="24"/>
        </w:rPr>
        <w:t xml:space="preserve">, vomissements </w:t>
      </w:r>
    </w:p>
    <w:p w:rsidR="00631BBB" w:rsidRPr="00DE301F" w:rsidRDefault="00DE301F" w:rsidP="00631BB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Pr="00DE301F">
        <w:rPr>
          <w:rFonts w:ascii="Times New Roman" w:hAnsi="Times New Roman" w:cs="Times New Roman"/>
          <w:sz w:val="24"/>
          <w:szCs w:val="24"/>
        </w:rPr>
        <w:t>limentaires</w:t>
      </w:r>
      <w:proofErr w:type="gramEnd"/>
      <w:r w:rsidR="00631BBB" w:rsidRPr="00DE301F">
        <w:rPr>
          <w:rFonts w:ascii="Times New Roman" w:hAnsi="Times New Roman" w:cs="Times New Roman"/>
          <w:sz w:val="24"/>
          <w:szCs w:val="24"/>
        </w:rPr>
        <w:t xml:space="preserve"> avec amaigrissement de 10 kg en 2 mois. Lʼexamen clinique a montré un patient déshydratée, maigre avec un BMI à 18, sans autres anomalies. </w:t>
      </w:r>
      <w:r>
        <w:rPr>
          <w:rFonts w:ascii="Times New Roman" w:hAnsi="Times New Roman" w:cs="Times New Roman"/>
          <w:sz w:val="24"/>
          <w:szCs w:val="24"/>
        </w:rPr>
        <w:t>Le b</w:t>
      </w:r>
      <w:r w:rsidRPr="00DE301F">
        <w:rPr>
          <w:rFonts w:ascii="Times New Roman" w:hAnsi="Times New Roman" w:cs="Times New Roman"/>
          <w:sz w:val="24"/>
          <w:szCs w:val="24"/>
        </w:rPr>
        <w:t>ilan</w:t>
      </w:r>
      <w:r w:rsidR="00631BBB" w:rsidRPr="00DE301F">
        <w:rPr>
          <w:rFonts w:ascii="Times New Roman" w:hAnsi="Times New Roman" w:cs="Times New Roman"/>
          <w:sz w:val="24"/>
          <w:szCs w:val="24"/>
        </w:rPr>
        <w:t xml:space="preserve"> biologique a montré une hypokaliémie  à 1. 9mmol\l et une hyponatrémie à 118mmol\l La fibroscopie </w:t>
      </w:r>
      <w:proofErr w:type="spellStart"/>
      <w:r w:rsidR="00631BBB" w:rsidRPr="00DE301F">
        <w:rPr>
          <w:rFonts w:ascii="Times New Roman" w:hAnsi="Times New Roman" w:cs="Times New Roman"/>
          <w:sz w:val="24"/>
          <w:szCs w:val="24"/>
        </w:rPr>
        <w:t>oeso</w:t>
      </w:r>
      <w:proofErr w:type="spellEnd"/>
      <w:r w:rsidR="00631BBB" w:rsidRPr="00DE301F">
        <w:rPr>
          <w:rFonts w:ascii="Times New Roman" w:hAnsi="Times New Roman" w:cs="Times New Roman"/>
          <w:sz w:val="24"/>
          <w:szCs w:val="24"/>
        </w:rPr>
        <w:t xml:space="preserve">-gastroduodénale et la était normale. Le diagnostic du syndrome de la pince mésentérique a été retenu devant la disparité du calibre de D3 au scanner et au transit </w:t>
      </w:r>
      <w:proofErr w:type="spellStart"/>
      <w:r w:rsidR="00631BBB" w:rsidRPr="00DE301F">
        <w:rPr>
          <w:rFonts w:ascii="Times New Roman" w:hAnsi="Times New Roman" w:cs="Times New Roman"/>
          <w:sz w:val="24"/>
          <w:szCs w:val="24"/>
        </w:rPr>
        <w:t>oeso</w:t>
      </w:r>
      <w:proofErr w:type="spellEnd"/>
      <w:r w:rsidR="00631BBB" w:rsidRPr="00DE301F">
        <w:rPr>
          <w:rFonts w:ascii="Times New Roman" w:hAnsi="Times New Roman" w:cs="Times New Roman"/>
          <w:sz w:val="24"/>
          <w:szCs w:val="24"/>
        </w:rPr>
        <w:t xml:space="preserve">-gastroduodénal. La patiente a été mise sous nutrition parentérale pendant 8 semaines, sans aucune amélioration des symptômes avec persistance des troubles ioniques nécessitant le recours à la chirurgie. </w:t>
      </w:r>
    </w:p>
    <w:p w:rsidR="00631BBB" w:rsidRPr="00DE301F" w:rsidRDefault="00631BBB" w:rsidP="00631BBB">
      <w:pPr>
        <w:rPr>
          <w:rFonts w:ascii="Times New Roman" w:hAnsi="Times New Roman" w:cs="Times New Roman"/>
          <w:b/>
          <w:sz w:val="24"/>
          <w:szCs w:val="24"/>
        </w:rPr>
      </w:pPr>
      <w:r w:rsidRPr="00DE301F">
        <w:rPr>
          <w:rFonts w:ascii="Times New Roman" w:hAnsi="Times New Roman" w:cs="Times New Roman"/>
          <w:sz w:val="24"/>
          <w:szCs w:val="24"/>
        </w:rPr>
        <w:t xml:space="preserve"> </w:t>
      </w:r>
      <w:r w:rsidRPr="00DE301F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990F93" w:rsidRPr="00DE301F" w:rsidRDefault="00631BBB" w:rsidP="00631BBB">
      <w:pPr>
        <w:rPr>
          <w:rFonts w:ascii="Times New Roman" w:hAnsi="Times New Roman" w:cs="Times New Roman"/>
          <w:sz w:val="24"/>
          <w:szCs w:val="24"/>
        </w:rPr>
      </w:pPr>
      <w:r w:rsidRPr="00DE301F">
        <w:rPr>
          <w:rFonts w:ascii="Times New Roman" w:hAnsi="Times New Roman" w:cs="Times New Roman"/>
          <w:sz w:val="24"/>
          <w:szCs w:val="24"/>
        </w:rPr>
        <w:t xml:space="preserve">Le SAMS est une entité rare dont le diagnostic doit être évoqué devant des vomissements qui restent </w:t>
      </w:r>
      <w:r w:rsidR="00DE301F">
        <w:rPr>
          <w:rFonts w:ascii="Times New Roman" w:hAnsi="Times New Roman" w:cs="Times New Roman"/>
          <w:sz w:val="24"/>
          <w:szCs w:val="24"/>
        </w:rPr>
        <w:t xml:space="preserve"> </w:t>
      </w:r>
      <w:r w:rsidRPr="00DE301F">
        <w:rPr>
          <w:rFonts w:ascii="Times New Roman" w:hAnsi="Times New Roman" w:cs="Times New Roman"/>
          <w:sz w:val="24"/>
          <w:szCs w:val="24"/>
        </w:rPr>
        <w:t>inexpliqués. Le traitement à base de nutrition parentérale doit être toujours tenté avant le recours à la chirurgie.</w:t>
      </w:r>
    </w:p>
    <w:sectPr w:rsidR="00990F93" w:rsidRPr="00DE301F" w:rsidSect="00986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631BBB"/>
    <w:rsid w:val="0050024B"/>
    <w:rsid w:val="00631BBB"/>
    <w:rsid w:val="00986AF1"/>
    <w:rsid w:val="00B4597B"/>
    <w:rsid w:val="00DE3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AF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2017-01-07T12:55:00Z</dcterms:created>
  <dcterms:modified xsi:type="dcterms:W3CDTF">2017-01-07T13:14:00Z</dcterms:modified>
</cp:coreProperties>
</file>