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E57" w:rsidRPr="00810E57" w:rsidRDefault="00810E57" w:rsidP="00810E57">
      <w:pPr>
        <w:spacing w:line="240" w:lineRule="auto"/>
        <w:rPr>
          <w:rFonts w:ascii="Times New Roman" w:hAnsi="Times New Roman" w:cs="Times New Roman"/>
          <w:b/>
        </w:rPr>
      </w:pPr>
      <w:r w:rsidRPr="00810E57">
        <w:rPr>
          <w:rFonts w:ascii="Times New Roman" w:hAnsi="Times New Roman" w:cs="Times New Roman"/>
          <w:b/>
        </w:rPr>
        <w:t>LA MALADIE DE BIERMER : LE POINT DE VUE DU GASTRO-ENTEROLOGUE</w:t>
      </w:r>
    </w:p>
    <w:p w:rsidR="00810E57" w:rsidRPr="00810E57" w:rsidRDefault="00810E57" w:rsidP="00810E57">
      <w:pPr>
        <w:spacing w:line="240" w:lineRule="auto"/>
        <w:rPr>
          <w:rFonts w:ascii="Times New Roman" w:hAnsi="Times New Roman" w:cs="Times New Roman"/>
          <w:b/>
        </w:rPr>
      </w:pPr>
      <w:r w:rsidRPr="00810E57">
        <w:rPr>
          <w:rFonts w:ascii="Times New Roman" w:hAnsi="Times New Roman" w:cs="Times New Roman"/>
          <w:b/>
        </w:rPr>
        <w:t>Introduction :</w:t>
      </w:r>
    </w:p>
    <w:p w:rsidR="00810E57" w:rsidRPr="00810E57" w:rsidRDefault="00810E57" w:rsidP="00810E57">
      <w:pPr>
        <w:spacing w:line="240" w:lineRule="auto"/>
        <w:rPr>
          <w:rFonts w:ascii="Times New Roman" w:hAnsi="Times New Roman" w:cs="Times New Roman"/>
        </w:rPr>
      </w:pPr>
      <w:r w:rsidRPr="00810E57">
        <w:rPr>
          <w:rFonts w:ascii="Times New Roman" w:hAnsi="Times New Roman" w:cs="Times New Roman"/>
        </w:rPr>
        <w:t xml:space="preserve">La maladie de biermer représente une des causes les plus rares dʼanémie dʼorigine digestive. Elle est secondaire à une carence en vitamine B12 due à un tarissement de la sécrétion du facteur intrinsèque. </w:t>
      </w:r>
    </w:p>
    <w:p w:rsidR="00810E57" w:rsidRPr="00810E57" w:rsidRDefault="00810E57" w:rsidP="00810E57">
      <w:pPr>
        <w:spacing w:line="240" w:lineRule="auto"/>
        <w:rPr>
          <w:rFonts w:ascii="Times New Roman" w:hAnsi="Times New Roman" w:cs="Times New Roman"/>
        </w:rPr>
      </w:pPr>
      <w:r w:rsidRPr="00810E57">
        <w:rPr>
          <w:rFonts w:ascii="Times New Roman" w:hAnsi="Times New Roman" w:cs="Times New Roman"/>
          <w:b/>
        </w:rPr>
        <w:t>Matériel et Méthodes</w:t>
      </w:r>
      <w:r w:rsidRPr="00810E57">
        <w:rPr>
          <w:rFonts w:ascii="Times New Roman" w:hAnsi="Times New Roman" w:cs="Times New Roman"/>
        </w:rPr>
        <w:t xml:space="preserve"> :</w:t>
      </w:r>
    </w:p>
    <w:p w:rsidR="00810E57" w:rsidRPr="00810E57" w:rsidRDefault="00810E57" w:rsidP="00810E57">
      <w:pPr>
        <w:spacing w:line="240" w:lineRule="auto"/>
        <w:rPr>
          <w:rFonts w:ascii="Times New Roman" w:hAnsi="Times New Roman" w:cs="Times New Roman"/>
        </w:rPr>
      </w:pPr>
      <w:r w:rsidRPr="00810E57">
        <w:rPr>
          <w:rFonts w:ascii="Times New Roman" w:hAnsi="Times New Roman" w:cs="Times New Roman"/>
        </w:rPr>
        <w:t>Nous rapportons 14 cas dʼanémie de bierm</w:t>
      </w:r>
      <w:r>
        <w:rPr>
          <w:rFonts w:ascii="Times New Roman" w:hAnsi="Times New Roman" w:cs="Times New Roman"/>
        </w:rPr>
        <w:t>er colligés sur une période de 2</w:t>
      </w:r>
      <w:r w:rsidRPr="00810E57">
        <w:rPr>
          <w:rFonts w:ascii="Times New Roman" w:hAnsi="Times New Roman" w:cs="Times New Roman"/>
        </w:rPr>
        <w:t xml:space="preserve"> ans au service dʼhépato-</w:t>
      </w:r>
      <w:proofErr w:type="gramStart"/>
      <w:r w:rsidRPr="00810E57">
        <w:rPr>
          <w:rFonts w:ascii="Times New Roman" w:hAnsi="Times New Roman" w:cs="Times New Roman"/>
        </w:rPr>
        <w:t>gastroentérologi</w:t>
      </w:r>
      <w:r>
        <w:rPr>
          <w:rFonts w:ascii="Times New Roman" w:hAnsi="Times New Roman" w:cs="Times New Roman"/>
        </w:rPr>
        <w:t xml:space="preserve">e </w:t>
      </w:r>
      <w:r w:rsidRPr="00810E57">
        <w:rPr>
          <w:rFonts w:ascii="Times New Roman" w:hAnsi="Times New Roman" w:cs="Times New Roman"/>
        </w:rPr>
        <w:t>.</w:t>
      </w:r>
      <w:proofErr w:type="gramEnd"/>
      <w:r w:rsidRPr="00810E57">
        <w:rPr>
          <w:rFonts w:ascii="Times New Roman" w:hAnsi="Times New Roman" w:cs="Times New Roman"/>
        </w:rPr>
        <w:t xml:space="preserve"> </w:t>
      </w:r>
    </w:p>
    <w:p w:rsidR="00810E57" w:rsidRPr="00810E57" w:rsidRDefault="00810E57" w:rsidP="00810E57">
      <w:pPr>
        <w:spacing w:line="240" w:lineRule="auto"/>
        <w:rPr>
          <w:rFonts w:ascii="Times New Roman" w:hAnsi="Times New Roman" w:cs="Times New Roman"/>
          <w:b/>
        </w:rPr>
      </w:pPr>
      <w:r w:rsidRPr="00810E57">
        <w:rPr>
          <w:rFonts w:ascii="Times New Roman" w:hAnsi="Times New Roman" w:cs="Times New Roman"/>
          <w:b/>
        </w:rPr>
        <w:t>Résultat :</w:t>
      </w:r>
    </w:p>
    <w:p w:rsidR="00810E57" w:rsidRPr="00810E57" w:rsidRDefault="00810E57" w:rsidP="00810E57">
      <w:pPr>
        <w:spacing w:line="240" w:lineRule="auto"/>
        <w:rPr>
          <w:rFonts w:ascii="Times New Roman" w:hAnsi="Times New Roman" w:cs="Times New Roman"/>
        </w:rPr>
      </w:pPr>
      <w:r w:rsidRPr="00810E57">
        <w:rPr>
          <w:rFonts w:ascii="Times New Roman" w:hAnsi="Times New Roman" w:cs="Times New Roman"/>
        </w:rPr>
        <w:t>Il sʼagit de 8 hommes et 6 femmes dont lʼ</w:t>
      </w:r>
      <w:r>
        <w:rPr>
          <w:rFonts w:ascii="Times New Roman" w:hAnsi="Times New Roman" w:cs="Times New Roman"/>
        </w:rPr>
        <w:t xml:space="preserve"> </w:t>
      </w:r>
      <w:r w:rsidRPr="00810E57">
        <w:rPr>
          <w:rFonts w:ascii="Times New Roman" w:hAnsi="Times New Roman" w:cs="Times New Roman"/>
        </w:rPr>
        <w:t xml:space="preserve">âge moyen est de 55 ans avec des extrêmes de 29 et 76 ans. Le délai moyen de consultation est de 6 mois. Les signes révélateurs sont un syndrome anémique dans tous les cas associé à un </w:t>
      </w:r>
      <w:proofErr w:type="spellStart"/>
      <w:r w:rsidRPr="00810E57">
        <w:rPr>
          <w:rFonts w:ascii="Times New Roman" w:hAnsi="Times New Roman" w:cs="Times New Roman"/>
        </w:rPr>
        <w:t>sub</w:t>
      </w:r>
      <w:proofErr w:type="spellEnd"/>
      <w:r w:rsidRPr="00810E57">
        <w:rPr>
          <w:rFonts w:ascii="Times New Roman" w:hAnsi="Times New Roman" w:cs="Times New Roman"/>
        </w:rPr>
        <w:t xml:space="preserve">-ictère conjonctival dans 6 cas, une asthénie profonde dans 11 cas, des </w:t>
      </w:r>
      <w:proofErr w:type="spellStart"/>
      <w:r w:rsidRPr="00810E57">
        <w:rPr>
          <w:rFonts w:ascii="Times New Roman" w:hAnsi="Times New Roman" w:cs="Times New Roman"/>
        </w:rPr>
        <w:t>épigastralgies</w:t>
      </w:r>
      <w:proofErr w:type="spellEnd"/>
      <w:r w:rsidRPr="00810E57">
        <w:rPr>
          <w:rFonts w:ascii="Times New Roman" w:hAnsi="Times New Roman" w:cs="Times New Roman"/>
        </w:rPr>
        <w:t xml:space="preserve"> dans 8 cas, une diarrhée chronique dans 4 cas, des paresthésies dans 3 cas, un syndrome de sclérose combinée de la moelle dans 2 cas et dans 1 cas une splénomégalie. La numération formule sanguine retrouve une anémie macrocytaire avec un taux dʼhémoglobine moyen de 6,8 g/dl et un volume globulaire moyen de 120,7 fl. Le myélogramme a montré une moelle riche avec une </w:t>
      </w:r>
      <w:proofErr w:type="spellStart"/>
      <w:r w:rsidRPr="00810E57">
        <w:rPr>
          <w:rFonts w:ascii="Times New Roman" w:hAnsi="Times New Roman" w:cs="Times New Roman"/>
        </w:rPr>
        <w:t>mégaloblastose</w:t>
      </w:r>
      <w:proofErr w:type="spellEnd"/>
      <w:r w:rsidRPr="00810E57">
        <w:rPr>
          <w:rFonts w:ascii="Times New Roman" w:hAnsi="Times New Roman" w:cs="Times New Roman"/>
        </w:rPr>
        <w:t xml:space="preserve"> chez tous les patients. Les AC anti-facteur intrinsèque et AC anti-cellules pariétales, réalisés chez 7 patients, sont positifs. Lʼendoscopie digestive haute avec biopsies a montré une muqueuse normale dans 6 cas et une atrophie fundique c</w:t>
      </w:r>
      <w:r>
        <w:rPr>
          <w:rFonts w:ascii="Times New Roman" w:hAnsi="Times New Roman" w:cs="Times New Roman"/>
        </w:rPr>
        <w:t>hez 8 cas. Lʼhistologie a confi</w:t>
      </w:r>
      <w:r w:rsidRPr="00810E57">
        <w:rPr>
          <w:rFonts w:ascii="Times New Roman" w:hAnsi="Times New Roman" w:cs="Times New Roman"/>
        </w:rPr>
        <w:t xml:space="preserve">rmé lʼatrophie fundique chez tous les patients, cette dernière est associée à une métaplasie intestinale dans 7 cas. Une fois le diagnostic posé, tous nos patients ont reçu de la vitamine B12 par voie parentérale. Lʼévolution est bonne chez tous nos patients sauf pour une patiente chez qui la fibroscopie de contrôle a révélé après une année des polypes gastriques bénins, imposant ainsi une surveillance endoscopique très rapprochée. </w:t>
      </w:r>
    </w:p>
    <w:p w:rsidR="00810E57" w:rsidRPr="00810E57" w:rsidRDefault="00810E57" w:rsidP="00810E57">
      <w:pPr>
        <w:rPr>
          <w:rFonts w:ascii="Times New Roman" w:hAnsi="Times New Roman" w:cs="Times New Roman"/>
          <w:b/>
        </w:rPr>
      </w:pPr>
      <w:r w:rsidRPr="00810E57">
        <w:rPr>
          <w:rFonts w:ascii="Times New Roman" w:hAnsi="Times New Roman" w:cs="Times New Roman"/>
          <w:b/>
        </w:rPr>
        <w:t>Conclusion :</w:t>
      </w:r>
    </w:p>
    <w:p w:rsidR="00990F93" w:rsidRPr="00810E57" w:rsidRDefault="00810E57" w:rsidP="00810E57">
      <w:pPr>
        <w:rPr>
          <w:rFonts w:ascii="Times New Roman" w:hAnsi="Times New Roman" w:cs="Times New Roman"/>
        </w:rPr>
      </w:pPr>
      <w:r w:rsidRPr="00810E57">
        <w:rPr>
          <w:rFonts w:ascii="Times New Roman" w:hAnsi="Times New Roman" w:cs="Times New Roman"/>
        </w:rPr>
        <w:t>Lʼanémie de biermer est une ma</w:t>
      </w:r>
      <w:r>
        <w:rPr>
          <w:rFonts w:ascii="Times New Roman" w:hAnsi="Times New Roman" w:cs="Times New Roman"/>
        </w:rPr>
        <w:t>ladie primitivement digestive. I</w:t>
      </w:r>
      <w:r w:rsidRPr="00810E57">
        <w:rPr>
          <w:rFonts w:ascii="Times New Roman" w:hAnsi="Times New Roman" w:cs="Times New Roman"/>
        </w:rPr>
        <w:t xml:space="preserve">l faut y penser devant toute anémie associée </w:t>
      </w:r>
      <w:proofErr w:type="gramStart"/>
      <w:r w:rsidRPr="00810E57">
        <w:rPr>
          <w:rFonts w:ascii="Times New Roman" w:hAnsi="Times New Roman" w:cs="Times New Roman"/>
        </w:rPr>
        <w:t>a</w:t>
      </w:r>
      <w:proofErr w:type="gramEnd"/>
      <w:r w:rsidRPr="00810E57">
        <w:rPr>
          <w:rFonts w:ascii="Times New Roman" w:hAnsi="Times New Roman" w:cs="Times New Roman"/>
        </w:rPr>
        <w:t xml:space="preserve"> des troubles digestifs ou plus rareme</w:t>
      </w:r>
      <w:r>
        <w:rPr>
          <w:rFonts w:ascii="Times New Roman" w:hAnsi="Times New Roman" w:cs="Times New Roman"/>
        </w:rPr>
        <w:t>nt des troubles neurologiques. L</w:t>
      </w:r>
      <w:r w:rsidRPr="00810E57">
        <w:rPr>
          <w:rFonts w:ascii="Times New Roman" w:hAnsi="Times New Roman" w:cs="Times New Roman"/>
        </w:rPr>
        <w:t>e traitement repose sur</w:t>
      </w:r>
      <w:r>
        <w:rPr>
          <w:rFonts w:ascii="Times New Roman" w:hAnsi="Times New Roman" w:cs="Times New Roman"/>
        </w:rPr>
        <w:t xml:space="preserve"> </w:t>
      </w:r>
      <w:r w:rsidRPr="00810E57">
        <w:rPr>
          <w:rFonts w:ascii="Times New Roman" w:hAnsi="Times New Roman" w:cs="Times New Roman"/>
        </w:rPr>
        <w:t xml:space="preserve">la vitamine b12 </w:t>
      </w:r>
      <w:proofErr w:type="gramStart"/>
      <w:r w:rsidRPr="00810E57">
        <w:rPr>
          <w:rFonts w:ascii="Times New Roman" w:hAnsi="Times New Roman" w:cs="Times New Roman"/>
        </w:rPr>
        <w:t>a</w:t>
      </w:r>
      <w:proofErr w:type="gramEnd"/>
      <w:r w:rsidRPr="00810E57">
        <w:rPr>
          <w:rFonts w:ascii="Times New Roman" w:hAnsi="Times New Roman" w:cs="Times New Roman"/>
        </w:rPr>
        <w:t xml:space="preserve"> vie par voie parentérale et la surveillance endoscopique gastrique est indispensable a cause du risque de cancérisation plus élevée chez ces patients par rapport a la population</w:t>
      </w:r>
      <w:r>
        <w:t xml:space="preserve"> générale.</w:t>
      </w:r>
    </w:p>
    <w:sectPr w:rsidR="00990F93" w:rsidRPr="00810E57" w:rsidSect="00DC176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810E57"/>
    <w:rsid w:val="0050024B"/>
    <w:rsid w:val="00810E57"/>
    <w:rsid w:val="00B4597B"/>
    <w:rsid w:val="00DC176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76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348</Words>
  <Characters>1914</Characters>
  <Application>Microsoft Office Word</Application>
  <DocSecurity>0</DocSecurity>
  <Lines>15</Lines>
  <Paragraphs>4</Paragraphs>
  <ScaleCrop>false</ScaleCrop>
  <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2017-01-22T13:08:00Z</dcterms:created>
  <dcterms:modified xsi:type="dcterms:W3CDTF">2017-01-22T13:14:00Z</dcterms:modified>
</cp:coreProperties>
</file>