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E6B" w:rsidRDefault="00503E6B" w:rsidP="00503E6B">
      <w:r w:rsidRPr="00503E6B">
        <w:rPr>
          <w:rFonts w:ascii="Times New Roman" w:hAnsi="Times New Roman" w:cs="Times New Roman"/>
          <w:b/>
          <w:sz w:val="24"/>
          <w:szCs w:val="24"/>
        </w:rPr>
        <w:t>LES ADENOCARCINOMES GASTRIQUES LOCALEMENT  AVANCES NON METASTATIQUES</w:t>
      </w:r>
      <w:r>
        <w:t xml:space="preserve"> :</w:t>
      </w:r>
    </w:p>
    <w:p w:rsidR="00503E6B" w:rsidRPr="00503E6B" w:rsidRDefault="00503E6B" w:rsidP="00503E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E6B">
        <w:rPr>
          <w:rFonts w:ascii="Times New Roman" w:hAnsi="Times New Roman" w:cs="Times New Roman"/>
          <w:sz w:val="24"/>
          <w:szCs w:val="24"/>
        </w:rPr>
        <w:t>Introduction :</w:t>
      </w:r>
    </w:p>
    <w:p w:rsidR="00503E6B" w:rsidRPr="00503E6B" w:rsidRDefault="00503E6B" w:rsidP="00503E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E6B">
        <w:rPr>
          <w:rFonts w:ascii="Times New Roman" w:hAnsi="Times New Roman" w:cs="Times New Roman"/>
          <w:sz w:val="24"/>
          <w:szCs w:val="24"/>
        </w:rPr>
        <w:t xml:space="preserve">Les adénocarcinomes gastriques localement avancés non métastatiques représentent 30-50% des adénocarcinomes gastriques au moment du diagnostic. Leurs prise en charge est multidisciplinaire. Leur pronostic sʼest nettement amélioré ces dernières années grâce à lʼutilisation à côté de la chirurgie des thérapies anti cancéreuses systémiques et locorégionales toutefois la stratégie adéquate à adopter reste un sujet de controverse. </w:t>
      </w:r>
    </w:p>
    <w:p w:rsidR="00503E6B" w:rsidRPr="00503E6B" w:rsidRDefault="00503E6B" w:rsidP="00503E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E6B">
        <w:rPr>
          <w:rFonts w:ascii="Times New Roman" w:hAnsi="Times New Roman" w:cs="Times New Roman"/>
          <w:sz w:val="24"/>
          <w:szCs w:val="24"/>
        </w:rPr>
        <w:t>But :</w:t>
      </w:r>
    </w:p>
    <w:p w:rsidR="00503E6B" w:rsidRPr="00503E6B" w:rsidRDefault="00503E6B" w:rsidP="00503E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E6B">
        <w:rPr>
          <w:rFonts w:ascii="Times New Roman" w:hAnsi="Times New Roman" w:cs="Times New Roman"/>
          <w:sz w:val="24"/>
          <w:szCs w:val="24"/>
        </w:rPr>
        <w:t xml:space="preserve">Décrire les caractéristiques épidémiologiques, cliniques et évolutives des adénocarcinomes gastriques localement avancés suivis au service de gastroentérologie </w:t>
      </w:r>
    </w:p>
    <w:p w:rsidR="00503E6B" w:rsidRPr="00503E6B" w:rsidRDefault="00503E6B" w:rsidP="00503E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E6B">
        <w:rPr>
          <w:rFonts w:ascii="Times New Roman" w:hAnsi="Times New Roman" w:cs="Times New Roman"/>
          <w:sz w:val="24"/>
          <w:szCs w:val="24"/>
        </w:rPr>
        <w:t>Patients et Méthodes :</w:t>
      </w:r>
    </w:p>
    <w:p w:rsidR="00503E6B" w:rsidRPr="00503E6B" w:rsidRDefault="00503E6B" w:rsidP="00503E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E6B">
        <w:rPr>
          <w:rFonts w:ascii="Times New Roman" w:hAnsi="Times New Roman" w:cs="Times New Roman"/>
          <w:sz w:val="24"/>
          <w:szCs w:val="24"/>
        </w:rPr>
        <w:t>Notre étude est rétrospective portant sur une</w:t>
      </w:r>
      <w:r>
        <w:rPr>
          <w:rFonts w:ascii="Times New Roman" w:hAnsi="Times New Roman" w:cs="Times New Roman"/>
          <w:sz w:val="24"/>
          <w:szCs w:val="24"/>
        </w:rPr>
        <w:t xml:space="preserve"> période de 5 ans allant de 2012 à 2016</w:t>
      </w:r>
      <w:r w:rsidRPr="00503E6B">
        <w:rPr>
          <w:rFonts w:ascii="Times New Roman" w:hAnsi="Times New Roman" w:cs="Times New Roman"/>
          <w:sz w:val="24"/>
          <w:szCs w:val="24"/>
        </w:rPr>
        <w:t xml:space="preserve"> intéressants 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503E6B">
        <w:rPr>
          <w:rFonts w:ascii="Times New Roman" w:hAnsi="Times New Roman" w:cs="Times New Roman"/>
          <w:sz w:val="24"/>
          <w:szCs w:val="24"/>
        </w:rPr>
        <w:t xml:space="preserve"> dossiers de patients ayant un adénocarcinome gastrique localement avancé non métastatique hospitalisés au service de gastroentérologie. </w:t>
      </w:r>
    </w:p>
    <w:p w:rsidR="00503E6B" w:rsidRPr="00503E6B" w:rsidRDefault="00503E6B" w:rsidP="00503E6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3E6B">
        <w:rPr>
          <w:rFonts w:ascii="Times New Roman" w:hAnsi="Times New Roman" w:cs="Times New Roman"/>
          <w:b/>
          <w:sz w:val="24"/>
          <w:szCs w:val="24"/>
        </w:rPr>
        <w:t>Résultats :</w:t>
      </w:r>
    </w:p>
    <w:p w:rsidR="00503E6B" w:rsidRPr="00503E6B" w:rsidRDefault="00503E6B" w:rsidP="00503E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E6B">
        <w:rPr>
          <w:rFonts w:ascii="Times New Roman" w:hAnsi="Times New Roman" w:cs="Times New Roman"/>
          <w:sz w:val="24"/>
          <w:szCs w:val="24"/>
        </w:rPr>
        <w:t xml:space="preserve">Lʼadénocarcinome gastrique venait en 1ère place des cancers gastriques (83,3%), et les formes localement avancés représentaient 39,7% de ce type histologique. Le sexe ratio était de 0,63. La moyenne </w:t>
      </w:r>
      <w:proofErr w:type="spellStart"/>
      <w:r w:rsidRPr="00503E6B">
        <w:rPr>
          <w:rFonts w:ascii="Times New Roman" w:hAnsi="Times New Roman" w:cs="Times New Roman"/>
          <w:sz w:val="24"/>
          <w:szCs w:val="24"/>
        </w:rPr>
        <w:t>dʼâge</w:t>
      </w:r>
      <w:proofErr w:type="spellEnd"/>
      <w:r w:rsidRPr="00503E6B">
        <w:rPr>
          <w:rFonts w:ascii="Times New Roman" w:hAnsi="Times New Roman" w:cs="Times New Roman"/>
          <w:sz w:val="24"/>
          <w:szCs w:val="24"/>
        </w:rPr>
        <w:t xml:space="preserve"> était de 5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503E6B">
        <w:rPr>
          <w:rFonts w:ascii="Times New Roman" w:hAnsi="Times New Roman" w:cs="Times New Roman"/>
          <w:sz w:val="24"/>
          <w:szCs w:val="24"/>
        </w:rPr>
        <w:t xml:space="preserve">ans avec des âges extrêmes allant de 22 ans à 76 ans. La symptomatologie clinique a été dominée par les </w:t>
      </w:r>
      <w:proofErr w:type="spellStart"/>
      <w:r w:rsidRPr="00503E6B">
        <w:rPr>
          <w:rFonts w:ascii="Times New Roman" w:hAnsi="Times New Roman" w:cs="Times New Roman"/>
          <w:sz w:val="24"/>
          <w:szCs w:val="24"/>
        </w:rPr>
        <w:t>épigastralgies</w:t>
      </w:r>
      <w:proofErr w:type="spellEnd"/>
      <w:r w:rsidRPr="00503E6B">
        <w:rPr>
          <w:rFonts w:ascii="Times New Roman" w:hAnsi="Times New Roman" w:cs="Times New Roman"/>
          <w:sz w:val="24"/>
          <w:szCs w:val="24"/>
        </w:rPr>
        <w:t xml:space="preserve"> (100%). Lʼexamen physique a retrouvé une masse épigastrique dans 19. 4 % des cas et une sensibilité épigastrique dans 74,4% des cas. Le diagnostic dʼadéno</w:t>
      </w:r>
      <w:r>
        <w:rPr>
          <w:rFonts w:ascii="Times New Roman" w:hAnsi="Times New Roman" w:cs="Times New Roman"/>
          <w:sz w:val="24"/>
          <w:szCs w:val="24"/>
        </w:rPr>
        <w:t>carcinome gastrique a été confi</w:t>
      </w:r>
      <w:r w:rsidRPr="00503E6B">
        <w:rPr>
          <w:rFonts w:ascii="Times New Roman" w:hAnsi="Times New Roman" w:cs="Times New Roman"/>
          <w:sz w:val="24"/>
          <w:szCs w:val="24"/>
        </w:rPr>
        <w:t xml:space="preserve">rmé par </w:t>
      </w:r>
      <w:r>
        <w:rPr>
          <w:rFonts w:ascii="Times New Roman" w:hAnsi="Times New Roman" w:cs="Times New Roman"/>
          <w:sz w:val="24"/>
          <w:szCs w:val="24"/>
        </w:rPr>
        <w:t>la fi</w:t>
      </w:r>
      <w:r w:rsidRPr="00503E6B">
        <w:rPr>
          <w:rFonts w:ascii="Times New Roman" w:hAnsi="Times New Roman" w:cs="Times New Roman"/>
          <w:sz w:val="24"/>
          <w:szCs w:val="24"/>
        </w:rPr>
        <w:t xml:space="preserve">broscopie et la biopsie pratiquées chez tous nos malades. Le processus tumoral était le plus souvent de siège antrale (74%), dʼaspect </w:t>
      </w:r>
      <w:proofErr w:type="spellStart"/>
      <w:r w:rsidRPr="00503E6B">
        <w:rPr>
          <w:rFonts w:ascii="Times New Roman" w:hAnsi="Times New Roman" w:cs="Times New Roman"/>
          <w:sz w:val="24"/>
          <w:szCs w:val="24"/>
        </w:rPr>
        <w:t>ulcéro</w:t>
      </w:r>
      <w:proofErr w:type="spellEnd"/>
      <w:r w:rsidRPr="00503E6B">
        <w:rPr>
          <w:rFonts w:ascii="Times New Roman" w:hAnsi="Times New Roman" w:cs="Times New Roman"/>
          <w:sz w:val="24"/>
          <w:szCs w:val="24"/>
        </w:rPr>
        <w:t xml:space="preserve">-bourgeonnant (87,1%). Lʼadénocarcinome peu différencié était le plus fréquent (48,4%). Sur les données du bilan </w:t>
      </w:r>
      <w:proofErr w:type="spellStart"/>
      <w:r w:rsidRPr="00503E6B">
        <w:rPr>
          <w:rFonts w:ascii="Times New Roman" w:hAnsi="Times New Roman" w:cs="Times New Roman"/>
          <w:sz w:val="24"/>
          <w:szCs w:val="24"/>
        </w:rPr>
        <w:t>dʼextension</w:t>
      </w:r>
      <w:proofErr w:type="spellEnd"/>
      <w:r w:rsidRPr="00503E6B">
        <w:rPr>
          <w:rFonts w:ascii="Times New Roman" w:hAnsi="Times New Roman" w:cs="Times New Roman"/>
          <w:sz w:val="24"/>
          <w:szCs w:val="24"/>
        </w:rPr>
        <w:t>, 45,2% des patients étaient classés T3NxM0, 22,6% étaient classés T3N+M0 et 32,2% étaient classés T4N+M0. Le traitement a été basé sur la chirurgie et les thérapies adjuvantes et néo adjuvantes</w:t>
      </w:r>
      <w:r>
        <w:t xml:space="preserve">. </w:t>
      </w:r>
    </w:p>
    <w:p w:rsidR="00503E6B" w:rsidRPr="00503E6B" w:rsidRDefault="00503E6B" w:rsidP="00503E6B">
      <w:pPr>
        <w:rPr>
          <w:rFonts w:ascii="Times New Roman" w:hAnsi="Times New Roman" w:cs="Times New Roman"/>
          <w:b/>
          <w:sz w:val="24"/>
          <w:szCs w:val="24"/>
        </w:rPr>
      </w:pPr>
      <w:r w:rsidRPr="00503E6B">
        <w:rPr>
          <w:rFonts w:ascii="Times New Roman" w:hAnsi="Times New Roman" w:cs="Times New Roman"/>
          <w:b/>
          <w:sz w:val="24"/>
          <w:szCs w:val="24"/>
        </w:rPr>
        <w:t>Conclusion :</w:t>
      </w:r>
    </w:p>
    <w:p w:rsidR="00990F93" w:rsidRPr="00503E6B" w:rsidRDefault="00503E6B" w:rsidP="00503E6B">
      <w:pPr>
        <w:rPr>
          <w:rFonts w:ascii="Times New Roman" w:hAnsi="Times New Roman" w:cs="Times New Roman"/>
          <w:sz w:val="24"/>
          <w:szCs w:val="24"/>
        </w:rPr>
      </w:pPr>
      <w:r w:rsidRPr="00503E6B">
        <w:rPr>
          <w:rFonts w:ascii="Times New Roman" w:hAnsi="Times New Roman" w:cs="Times New Roman"/>
          <w:sz w:val="24"/>
          <w:szCs w:val="24"/>
        </w:rPr>
        <w:t xml:space="preserve">La particularité de cette série en comparaison avec la littérature est </w:t>
      </w:r>
      <w:proofErr w:type="spellStart"/>
      <w:r w:rsidRPr="00503E6B">
        <w:rPr>
          <w:rFonts w:ascii="Times New Roman" w:hAnsi="Times New Roman" w:cs="Times New Roman"/>
          <w:sz w:val="24"/>
          <w:szCs w:val="24"/>
        </w:rPr>
        <w:t>lʼâge</w:t>
      </w:r>
      <w:proofErr w:type="spellEnd"/>
      <w:r w:rsidRPr="00503E6B">
        <w:rPr>
          <w:rFonts w:ascii="Times New Roman" w:hAnsi="Times New Roman" w:cs="Times New Roman"/>
          <w:sz w:val="24"/>
          <w:szCs w:val="24"/>
        </w:rPr>
        <w:t xml:space="preserve"> jeune des patients, avec la découverte à des stades tardifs. </w:t>
      </w:r>
      <w:proofErr w:type="spellStart"/>
      <w:r w:rsidRPr="00503E6B">
        <w:rPr>
          <w:rFonts w:ascii="Times New Roman" w:hAnsi="Times New Roman" w:cs="Times New Roman"/>
          <w:sz w:val="24"/>
          <w:szCs w:val="24"/>
        </w:rPr>
        <w:t>Dʼoù</w:t>
      </w:r>
      <w:proofErr w:type="spellEnd"/>
      <w:r w:rsidRPr="00503E6B">
        <w:rPr>
          <w:rFonts w:ascii="Times New Roman" w:hAnsi="Times New Roman" w:cs="Times New Roman"/>
          <w:sz w:val="24"/>
          <w:szCs w:val="24"/>
        </w:rPr>
        <w:t xml:space="preserve"> la nécessité </w:t>
      </w:r>
      <w:proofErr w:type="spellStart"/>
      <w:r w:rsidRPr="00503E6B">
        <w:rPr>
          <w:rFonts w:ascii="Times New Roman" w:hAnsi="Times New Roman" w:cs="Times New Roman"/>
          <w:sz w:val="24"/>
          <w:szCs w:val="24"/>
        </w:rPr>
        <w:t>dʼun</w:t>
      </w:r>
      <w:proofErr w:type="spellEnd"/>
      <w:r w:rsidRPr="00503E6B">
        <w:rPr>
          <w:rFonts w:ascii="Times New Roman" w:hAnsi="Times New Roman" w:cs="Times New Roman"/>
          <w:sz w:val="24"/>
          <w:szCs w:val="24"/>
        </w:rPr>
        <w:t xml:space="preserve"> diagnostic précoce avec systématisation des examens endoscopiques même pour les patients jeunes.</w:t>
      </w:r>
    </w:p>
    <w:sectPr w:rsidR="00990F93" w:rsidRPr="00503E6B" w:rsidSect="001353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503E6B"/>
    <w:rsid w:val="0013532F"/>
    <w:rsid w:val="0022039B"/>
    <w:rsid w:val="0050024B"/>
    <w:rsid w:val="00503E6B"/>
    <w:rsid w:val="006E7529"/>
    <w:rsid w:val="008D17EA"/>
    <w:rsid w:val="00B45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32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341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2017-01-06T21:52:00Z</dcterms:created>
  <dcterms:modified xsi:type="dcterms:W3CDTF">2017-01-15T12:24:00Z</dcterms:modified>
</cp:coreProperties>
</file>