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320" w:rsidRPr="00A53320" w:rsidRDefault="00A53320" w:rsidP="00A533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3320">
        <w:rPr>
          <w:rFonts w:ascii="Times New Roman" w:hAnsi="Times New Roman" w:cs="Times New Roman"/>
          <w:b/>
          <w:sz w:val="24"/>
          <w:szCs w:val="24"/>
        </w:rPr>
        <w:t xml:space="preserve">LA DIFFERENCE EPIDEMIOLOGIQUE DES HEMORRAGIES DIGESTIVES HAUTES  ENTRE LES HOMMES </w:t>
      </w:r>
      <w:r w:rsidR="005B4B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3320">
        <w:rPr>
          <w:rFonts w:ascii="Times New Roman" w:hAnsi="Times New Roman" w:cs="Times New Roman"/>
          <w:b/>
          <w:sz w:val="24"/>
          <w:szCs w:val="24"/>
        </w:rPr>
        <w:t>ET   LES FEMMES</w:t>
      </w:r>
    </w:p>
    <w:p w:rsidR="00A53320" w:rsidRPr="00A53320" w:rsidRDefault="00A53320" w:rsidP="00A533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3320">
        <w:rPr>
          <w:rFonts w:ascii="Times New Roman" w:hAnsi="Times New Roman" w:cs="Times New Roman"/>
          <w:b/>
          <w:sz w:val="24"/>
          <w:szCs w:val="24"/>
        </w:rPr>
        <w:t>Introduction :</w:t>
      </w:r>
    </w:p>
    <w:p w:rsidR="00A53320" w:rsidRPr="00A53320" w:rsidRDefault="00A53320" w:rsidP="00A533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3320">
        <w:rPr>
          <w:rFonts w:ascii="Times New Roman" w:hAnsi="Times New Roman" w:cs="Times New Roman"/>
          <w:sz w:val="24"/>
          <w:szCs w:val="24"/>
        </w:rPr>
        <w:t xml:space="preserve">Les différentes études épidémiologiques révèlent des différences de fréquence, </w:t>
      </w:r>
      <w:proofErr w:type="spellStart"/>
      <w:r w:rsidRPr="00A53320">
        <w:rPr>
          <w:rFonts w:ascii="Times New Roman" w:hAnsi="Times New Roman" w:cs="Times New Roman"/>
          <w:sz w:val="24"/>
          <w:szCs w:val="24"/>
        </w:rPr>
        <w:t>dʼâge</w:t>
      </w:r>
      <w:proofErr w:type="spellEnd"/>
      <w:r w:rsidRPr="00A53320">
        <w:rPr>
          <w:rFonts w:ascii="Times New Roman" w:hAnsi="Times New Roman" w:cs="Times New Roman"/>
          <w:sz w:val="24"/>
          <w:szCs w:val="24"/>
        </w:rPr>
        <w:t xml:space="preserve"> de survenue, dʼétiologie voire même de pronostic des hémorragies digestives hautes (HDH) entre les deux sexes opposés. Ces différents paramètres sont très hétérogènes et différemment appréciés dʼune étude à une autre. </w:t>
      </w:r>
      <w:proofErr w:type="spellStart"/>
      <w:r w:rsidRPr="00A53320">
        <w:rPr>
          <w:rFonts w:ascii="Times New Roman" w:hAnsi="Times New Roman" w:cs="Times New Roman"/>
          <w:sz w:val="24"/>
          <w:szCs w:val="24"/>
        </w:rPr>
        <w:t>Dʼautant</w:t>
      </w:r>
      <w:proofErr w:type="spellEnd"/>
      <w:r w:rsidRPr="00A53320">
        <w:rPr>
          <w:rFonts w:ascii="Times New Roman" w:hAnsi="Times New Roman" w:cs="Times New Roman"/>
          <w:sz w:val="24"/>
          <w:szCs w:val="24"/>
        </w:rPr>
        <w:t xml:space="preserve"> plus que peu </w:t>
      </w:r>
      <w:proofErr w:type="spellStart"/>
      <w:r w:rsidRPr="00A53320">
        <w:rPr>
          <w:rFonts w:ascii="Times New Roman" w:hAnsi="Times New Roman" w:cs="Times New Roman"/>
          <w:sz w:val="24"/>
          <w:szCs w:val="24"/>
        </w:rPr>
        <w:t>dʼétudes</w:t>
      </w:r>
      <w:proofErr w:type="spellEnd"/>
      <w:r w:rsidRPr="00A53320">
        <w:rPr>
          <w:rFonts w:ascii="Times New Roman" w:hAnsi="Times New Roman" w:cs="Times New Roman"/>
          <w:sz w:val="24"/>
          <w:szCs w:val="24"/>
        </w:rPr>
        <w:t xml:space="preserve"> se sont intéressées à rechercher les particularités des HDH dans chaque groupe. </w:t>
      </w:r>
    </w:p>
    <w:p w:rsidR="00A53320" w:rsidRPr="00A53320" w:rsidRDefault="00A53320" w:rsidP="00A533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3320">
        <w:rPr>
          <w:rFonts w:ascii="Times New Roman" w:hAnsi="Times New Roman" w:cs="Times New Roman"/>
          <w:b/>
          <w:sz w:val="24"/>
          <w:szCs w:val="24"/>
        </w:rPr>
        <w:t>But :</w:t>
      </w:r>
    </w:p>
    <w:p w:rsidR="00A53320" w:rsidRPr="00A53320" w:rsidRDefault="00A53320" w:rsidP="00A533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3320">
        <w:rPr>
          <w:rFonts w:ascii="Times New Roman" w:hAnsi="Times New Roman" w:cs="Times New Roman"/>
          <w:sz w:val="24"/>
          <w:szCs w:val="24"/>
        </w:rPr>
        <w:t xml:space="preserve">Déceler les différences épidémiologiques, cliniques et étiologiques et évolutives entres les deux sexes. </w:t>
      </w:r>
    </w:p>
    <w:p w:rsidR="00A53320" w:rsidRPr="00A53320" w:rsidRDefault="00A53320" w:rsidP="00A533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3320">
        <w:rPr>
          <w:rFonts w:ascii="Times New Roman" w:hAnsi="Times New Roman" w:cs="Times New Roman"/>
          <w:b/>
          <w:sz w:val="24"/>
          <w:szCs w:val="24"/>
        </w:rPr>
        <w:t>Matériel et Méthodes :</w:t>
      </w:r>
    </w:p>
    <w:p w:rsidR="00A53320" w:rsidRPr="00A53320" w:rsidRDefault="00A53320" w:rsidP="00A533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3320">
        <w:rPr>
          <w:rFonts w:ascii="Times New Roman" w:hAnsi="Times New Roman" w:cs="Times New Roman"/>
          <w:sz w:val="24"/>
          <w:szCs w:val="24"/>
        </w:rPr>
        <w:t xml:space="preserve">Il </w:t>
      </w:r>
      <w:proofErr w:type="spellStart"/>
      <w:r w:rsidRPr="00A53320">
        <w:rPr>
          <w:rFonts w:ascii="Times New Roman" w:hAnsi="Times New Roman" w:cs="Times New Roman"/>
          <w:sz w:val="24"/>
          <w:szCs w:val="24"/>
        </w:rPr>
        <w:t>sʼagit</w:t>
      </w:r>
      <w:proofErr w:type="spellEnd"/>
      <w:r w:rsidRPr="00A53320">
        <w:rPr>
          <w:rFonts w:ascii="Times New Roman" w:hAnsi="Times New Roman" w:cs="Times New Roman"/>
          <w:sz w:val="24"/>
          <w:szCs w:val="24"/>
        </w:rPr>
        <w:t xml:space="preserve"> dʼune</w:t>
      </w:r>
      <w:r>
        <w:rPr>
          <w:rFonts w:ascii="Times New Roman" w:hAnsi="Times New Roman" w:cs="Times New Roman"/>
          <w:sz w:val="24"/>
          <w:szCs w:val="24"/>
        </w:rPr>
        <w:t xml:space="preserve"> étude </w:t>
      </w:r>
      <w:proofErr w:type="gramStart"/>
      <w:r>
        <w:rPr>
          <w:rFonts w:ascii="Times New Roman" w:hAnsi="Times New Roman" w:cs="Times New Roman"/>
          <w:sz w:val="24"/>
          <w:szCs w:val="24"/>
        </w:rPr>
        <w:t>rétrospective 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3320">
        <w:rPr>
          <w:rFonts w:ascii="Times New Roman" w:hAnsi="Times New Roman" w:cs="Times New Roman"/>
          <w:sz w:val="24"/>
          <w:szCs w:val="24"/>
        </w:rPr>
        <w:t>des malades  ayant une hé</w:t>
      </w:r>
      <w:r>
        <w:rPr>
          <w:rFonts w:ascii="Times New Roman" w:hAnsi="Times New Roman" w:cs="Times New Roman"/>
          <w:sz w:val="24"/>
          <w:szCs w:val="24"/>
        </w:rPr>
        <w:t>morragie digestive haute de 2012  à 2016</w:t>
      </w:r>
      <w:r w:rsidRPr="00A533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3320" w:rsidRPr="00A53320" w:rsidRDefault="00A53320" w:rsidP="00A533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3320">
        <w:rPr>
          <w:rFonts w:ascii="Times New Roman" w:hAnsi="Times New Roman" w:cs="Times New Roman"/>
          <w:b/>
          <w:sz w:val="24"/>
          <w:szCs w:val="24"/>
        </w:rPr>
        <w:t xml:space="preserve">Résultats </w:t>
      </w:r>
      <w:r w:rsidRPr="00A53320">
        <w:rPr>
          <w:rFonts w:ascii="Times New Roman" w:hAnsi="Times New Roman" w:cs="Times New Roman"/>
          <w:sz w:val="24"/>
          <w:szCs w:val="24"/>
        </w:rPr>
        <w:t>:</w:t>
      </w:r>
    </w:p>
    <w:p w:rsidR="00A53320" w:rsidRPr="00A53320" w:rsidRDefault="00A53320" w:rsidP="00A533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A53320">
        <w:rPr>
          <w:rFonts w:ascii="Times New Roman" w:hAnsi="Times New Roman" w:cs="Times New Roman"/>
          <w:sz w:val="24"/>
          <w:szCs w:val="24"/>
        </w:rPr>
        <w:t>18 cas dʼhémorragie</w:t>
      </w:r>
      <w:r>
        <w:rPr>
          <w:rFonts w:ascii="Times New Roman" w:hAnsi="Times New Roman" w:cs="Times New Roman"/>
          <w:sz w:val="24"/>
          <w:szCs w:val="24"/>
        </w:rPr>
        <w:t xml:space="preserve"> digestive haute était inclus. 693 étaient des hommes et 325</w:t>
      </w:r>
      <w:r w:rsidRPr="00A53320">
        <w:rPr>
          <w:rFonts w:ascii="Times New Roman" w:hAnsi="Times New Roman" w:cs="Times New Roman"/>
          <w:sz w:val="24"/>
          <w:szCs w:val="24"/>
        </w:rPr>
        <w:t xml:space="preserve"> étaient des femmes (68% Vs 32%, p &lt;0,0001). Un antécédent dʼHDH était trouvé chez 23,6% </w:t>
      </w:r>
      <w:r w:rsidR="005B4B1E">
        <w:rPr>
          <w:rFonts w:ascii="Times New Roman" w:hAnsi="Times New Roman" w:cs="Times New Roman"/>
          <w:sz w:val="24"/>
          <w:szCs w:val="24"/>
        </w:rPr>
        <w:t>des cas sans différence signifi</w:t>
      </w:r>
      <w:r w:rsidRPr="00A53320">
        <w:rPr>
          <w:rFonts w:ascii="Times New Roman" w:hAnsi="Times New Roman" w:cs="Times New Roman"/>
          <w:sz w:val="24"/>
          <w:szCs w:val="24"/>
        </w:rPr>
        <w:t xml:space="preserve">cative entre les deux sexes. </w:t>
      </w:r>
      <w:proofErr w:type="spellStart"/>
      <w:r w:rsidRPr="00A53320">
        <w:rPr>
          <w:rFonts w:ascii="Times New Roman" w:hAnsi="Times New Roman" w:cs="Times New Roman"/>
          <w:sz w:val="24"/>
          <w:szCs w:val="24"/>
        </w:rPr>
        <w:t>Lʼâge</w:t>
      </w:r>
      <w:proofErr w:type="spellEnd"/>
      <w:r w:rsidRPr="00A53320">
        <w:rPr>
          <w:rFonts w:ascii="Times New Roman" w:hAnsi="Times New Roman" w:cs="Times New Roman"/>
          <w:sz w:val="24"/>
          <w:szCs w:val="24"/>
        </w:rPr>
        <w:t xml:space="preserve"> de survenue de lʼhémorragie était plus élevé chez les femmes que chez les hommes : 5</w:t>
      </w:r>
      <w:r w:rsidR="005B4B1E">
        <w:rPr>
          <w:rFonts w:ascii="Times New Roman" w:hAnsi="Times New Roman" w:cs="Times New Roman"/>
          <w:sz w:val="24"/>
          <w:szCs w:val="24"/>
        </w:rPr>
        <w:t>4ans ± 18,8 Vs 44</w:t>
      </w:r>
      <w:r w:rsidRPr="00A53320">
        <w:rPr>
          <w:rFonts w:ascii="Times New Roman" w:hAnsi="Times New Roman" w:cs="Times New Roman"/>
          <w:sz w:val="24"/>
          <w:szCs w:val="24"/>
        </w:rPr>
        <w:t xml:space="preserve">ans ± 18,5 (p : 0,0007). Lʼexpression de lʼhémorragie par une hématémèse, était notée chez 82,4% des cas, lʼassociation à un méléna était notée chez 64% des hommes et 51% seulement chez la femme (p=0,002). Les étiologies de lʼHDH étaient différentes entre les deux sexes. Alors que lʼhémorragie liée à lʼHTP était la première cause chez la femme (40% Vs 22,6% chez </w:t>
      </w:r>
      <w:proofErr w:type="spellStart"/>
      <w:r w:rsidRPr="00A53320">
        <w:rPr>
          <w:rFonts w:ascii="Times New Roman" w:hAnsi="Times New Roman" w:cs="Times New Roman"/>
          <w:sz w:val="24"/>
          <w:szCs w:val="24"/>
        </w:rPr>
        <w:t>lʼhomme</w:t>
      </w:r>
      <w:proofErr w:type="spellEnd"/>
      <w:r w:rsidRPr="00A53320">
        <w:rPr>
          <w:rFonts w:ascii="Times New Roman" w:hAnsi="Times New Roman" w:cs="Times New Roman"/>
          <w:sz w:val="24"/>
          <w:szCs w:val="24"/>
        </w:rPr>
        <w:t xml:space="preserve">, p&lt;0,0001), </w:t>
      </w:r>
      <w:proofErr w:type="spellStart"/>
      <w:r w:rsidRPr="00A53320">
        <w:rPr>
          <w:rFonts w:ascii="Times New Roman" w:hAnsi="Times New Roman" w:cs="Times New Roman"/>
          <w:sz w:val="24"/>
          <w:szCs w:val="24"/>
        </w:rPr>
        <w:t>cʼest</w:t>
      </w:r>
      <w:proofErr w:type="spellEnd"/>
      <w:r w:rsidRPr="00A53320">
        <w:rPr>
          <w:rFonts w:ascii="Times New Roman" w:hAnsi="Times New Roman" w:cs="Times New Roman"/>
          <w:sz w:val="24"/>
          <w:szCs w:val="24"/>
        </w:rPr>
        <w:t xml:space="preserve"> la pathologie ulcéreuse qui venait en premier chez </w:t>
      </w:r>
      <w:proofErr w:type="spellStart"/>
      <w:r w:rsidRPr="00A53320">
        <w:rPr>
          <w:rFonts w:ascii="Times New Roman" w:hAnsi="Times New Roman" w:cs="Times New Roman"/>
          <w:sz w:val="24"/>
          <w:szCs w:val="24"/>
        </w:rPr>
        <w:t>lʼhomme</w:t>
      </w:r>
      <w:proofErr w:type="spellEnd"/>
      <w:r w:rsidRPr="00A53320">
        <w:rPr>
          <w:rFonts w:ascii="Times New Roman" w:hAnsi="Times New Roman" w:cs="Times New Roman"/>
          <w:sz w:val="24"/>
          <w:szCs w:val="24"/>
        </w:rPr>
        <w:t xml:space="preserve"> (64,6% Vs 37,6% chez la femme, p&lt;0,0001). Cette différence était plus marquée pour </w:t>
      </w:r>
      <w:proofErr w:type="spellStart"/>
      <w:r w:rsidRPr="00A53320">
        <w:rPr>
          <w:rFonts w:ascii="Times New Roman" w:hAnsi="Times New Roman" w:cs="Times New Roman"/>
          <w:sz w:val="24"/>
          <w:szCs w:val="24"/>
        </w:rPr>
        <w:t>lʼulcère</w:t>
      </w:r>
      <w:proofErr w:type="spellEnd"/>
      <w:r w:rsidRPr="00A53320">
        <w:rPr>
          <w:rFonts w:ascii="Times New Roman" w:hAnsi="Times New Roman" w:cs="Times New Roman"/>
          <w:sz w:val="24"/>
          <w:szCs w:val="24"/>
        </w:rPr>
        <w:t xml:space="preserve"> bulbaire (53% Vs 26,4%) que </w:t>
      </w:r>
      <w:proofErr w:type="spellStart"/>
      <w:r w:rsidRPr="00A53320">
        <w:rPr>
          <w:rFonts w:ascii="Times New Roman" w:hAnsi="Times New Roman" w:cs="Times New Roman"/>
          <w:sz w:val="24"/>
          <w:szCs w:val="24"/>
        </w:rPr>
        <w:t>lʼulcère</w:t>
      </w:r>
      <w:proofErr w:type="spellEnd"/>
      <w:r w:rsidRPr="00A53320">
        <w:rPr>
          <w:rFonts w:ascii="Times New Roman" w:hAnsi="Times New Roman" w:cs="Times New Roman"/>
          <w:sz w:val="24"/>
          <w:szCs w:val="24"/>
        </w:rPr>
        <w:t xml:space="preserve"> gastrique (17% Vs 15%). Un besoin t</w:t>
      </w:r>
      <w:r w:rsidR="005B4B1E">
        <w:rPr>
          <w:rFonts w:ascii="Times New Roman" w:hAnsi="Times New Roman" w:cs="Times New Roman"/>
          <w:sz w:val="24"/>
          <w:szCs w:val="24"/>
        </w:rPr>
        <w:t>ransfusionnel était noté chez 46</w:t>
      </w:r>
      <w:r w:rsidRPr="00A53320">
        <w:rPr>
          <w:rFonts w:ascii="Times New Roman" w:hAnsi="Times New Roman" w:cs="Times New Roman"/>
          <w:sz w:val="24"/>
          <w:szCs w:val="24"/>
        </w:rPr>
        <w:t>% des patients de sexe masculin contre 3</w:t>
      </w:r>
      <w:r w:rsidR="005B4B1E">
        <w:rPr>
          <w:rFonts w:ascii="Times New Roman" w:hAnsi="Times New Roman" w:cs="Times New Roman"/>
          <w:sz w:val="24"/>
          <w:szCs w:val="24"/>
        </w:rPr>
        <w:t>5</w:t>
      </w:r>
      <w:r w:rsidRPr="00A53320">
        <w:rPr>
          <w:rFonts w:ascii="Times New Roman" w:hAnsi="Times New Roman" w:cs="Times New Roman"/>
          <w:sz w:val="24"/>
          <w:szCs w:val="24"/>
        </w:rPr>
        <w:t xml:space="preserve">% des patientes avec une tendance à la signification statistique (p=0,07). Le taux de récidive et de décès global étaient de 7,4% et de 5,7% des cas respectivement, sans différence significative entre les deux sexes. </w:t>
      </w:r>
    </w:p>
    <w:p w:rsidR="00A53320" w:rsidRPr="00A53320" w:rsidRDefault="00A53320" w:rsidP="00A533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3320">
        <w:rPr>
          <w:rFonts w:ascii="Times New Roman" w:hAnsi="Times New Roman" w:cs="Times New Roman"/>
          <w:b/>
          <w:sz w:val="24"/>
          <w:szCs w:val="24"/>
        </w:rPr>
        <w:t>Conclusion :</w:t>
      </w:r>
    </w:p>
    <w:p w:rsidR="00A53320" w:rsidRPr="00A53320" w:rsidRDefault="00A53320" w:rsidP="00A533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Lʼétude trouve un profi</w:t>
      </w:r>
      <w:r w:rsidRPr="00A53320">
        <w:rPr>
          <w:rFonts w:ascii="Times New Roman" w:hAnsi="Times New Roman" w:cs="Times New Roman"/>
          <w:sz w:val="24"/>
          <w:szCs w:val="24"/>
        </w:rPr>
        <w:t xml:space="preserve">l épidémiologique, clinique et étiologique différent selon le sexe. </w:t>
      </w:r>
      <w:proofErr w:type="spellStart"/>
      <w:r w:rsidRPr="00A53320">
        <w:rPr>
          <w:rFonts w:ascii="Times New Roman" w:hAnsi="Times New Roman" w:cs="Times New Roman"/>
          <w:sz w:val="24"/>
          <w:szCs w:val="24"/>
        </w:rPr>
        <w:t>Lʼâge</w:t>
      </w:r>
      <w:proofErr w:type="spellEnd"/>
      <w:r w:rsidRPr="00A53320">
        <w:rPr>
          <w:rFonts w:ascii="Times New Roman" w:hAnsi="Times New Roman" w:cs="Times New Roman"/>
          <w:sz w:val="24"/>
          <w:szCs w:val="24"/>
        </w:rPr>
        <w:t xml:space="preserve"> de survenue est plus élevé chez la femme que chez les hommes. Lʼhémorragie liée à lʼHTP reste lʼétiologie la plus fréquente chez la femme alors que la pathologie ulcéreuse est la première cause dʼHDH chez </w:t>
      </w:r>
      <w:proofErr w:type="spellStart"/>
      <w:r w:rsidRPr="00A53320">
        <w:rPr>
          <w:rFonts w:ascii="Times New Roman" w:hAnsi="Times New Roman" w:cs="Times New Roman"/>
          <w:sz w:val="24"/>
          <w:szCs w:val="24"/>
        </w:rPr>
        <w:t>lʼhomme</w:t>
      </w:r>
      <w:proofErr w:type="spellEnd"/>
      <w:r w:rsidRPr="00A53320">
        <w:rPr>
          <w:rFonts w:ascii="Times New Roman" w:hAnsi="Times New Roman" w:cs="Times New Roman"/>
          <w:sz w:val="24"/>
          <w:szCs w:val="24"/>
        </w:rPr>
        <w:t xml:space="preserve">. Lʼévolution </w:t>
      </w:r>
      <w:r w:rsidR="005B4B1E">
        <w:rPr>
          <w:rFonts w:ascii="Times New Roman" w:hAnsi="Times New Roman" w:cs="Times New Roman"/>
          <w:sz w:val="24"/>
          <w:szCs w:val="24"/>
        </w:rPr>
        <w:t xml:space="preserve"> </w:t>
      </w:r>
      <w:r w:rsidRPr="00A53320">
        <w:rPr>
          <w:rFonts w:ascii="Times New Roman" w:hAnsi="Times New Roman" w:cs="Times New Roman"/>
          <w:sz w:val="24"/>
          <w:szCs w:val="24"/>
        </w:rPr>
        <w:t xml:space="preserve">dépend plus de la présence de </w:t>
      </w:r>
      <w:proofErr w:type="spellStart"/>
      <w:r w:rsidRPr="00A53320">
        <w:rPr>
          <w:rFonts w:ascii="Times New Roman" w:hAnsi="Times New Roman" w:cs="Times New Roman"/>
          <w:sz w:val="24"/>
          <w:szCs w:val="24"/>
        </w:rPr>
        <w:t>co</w:t>
      </w:r>
      <w:proofErr w:type="spellEnd"/>
      <w:r w:rsidRPr="00A53320">
        <w:rPr>
          <w:rFonts w:ascii="Times New Roman" w:hAnsi="Times New Roman" w:cs="Times New Roman"/>
          <w:sz w:val="24"/>
          <w:szCs w:val="24"/>
        </w:rPr>
        <w:t xml:space="preserve">-morbidités et de la gravité de lʼhémorragie que du sexe du patient. </w:t>
      </w:r>
    </w:p>
    <w:p w:rsidR="00990F93" w:rsidRPr="00A53320" w:rsidRDefault="005B4B1E" w:rsidP="00A533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90F93" w:rsidRPr="00A53320" w:rsidSect="001353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A53320"/>
    <w:rsid w:val="0013532F"/>
    <w:rsid w:val="0050024B"/>
    <w:rsid w:val="005B4B1E"/>
    <w:rsid w:val="00A53320"/>
    <w:rsid w:val="00B45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32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379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2017-01-06T21:18:00Z</dcterms:created>
  <dcterms:modified xsi:type="dcterms:W3CDTF">2017-01-06T21:31:00Z</dcterms:modified>
</cp:coreProperties>
</file>