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3" w:rsidRPr="007426CF" w:rsidRDefault="00A949A0" w:rsidP="007426C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6CF">
        <w:rPr>
          <w:rFonts w:ascii="Times New Roman" w:hAnsi="Times New Roman" w:cs="Times New Roman"/>
          <w:b/>
          <w:sz w:val="24"/>
          <w:szCs w:val="24"/>
        </w:rPr>
        <w:t>Hémorragies digestives hautes extériorisées : Etiologies rares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6CF">
        <w:rPr>
          <w:rFonts w:ascii="Times New Roman" w:hAnsi="Times New Roman" w:cs="Times New Roman"/>
          <w:b/>
          <w:sz w:val="24"/>
          <w:szCs w:val="24"/>
        </w:rPr>
        <w:t>Introduction :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26CF">
        <w:rPr>
          <w:rFonts w:ascii="Times New Roman" w:hAnsi="Times New Roman" w:cs="Times New Roman"/>
          <w:sz w:val="24"/>
          <w:szCs w:val="24"/>
        </w:rPr>
        <w:t>Les hémorragies digestives hautes est un motif fréquent de consultation .Ses</w:t>
      </w:r>
      <w:r w:rsidR="007426CF">
        <w:rPr>
          <w:rFonts w:ascii="Times New Roman" w:hAnsi="Times New Roman" w:cs="Times New Roman"/>
          <w:sz w:val="24"/>
          <w:szCs w:val="24"/>
        </w:rPr>
        <w:t xml:space="preserve"> étiologies  s</w:t>
      </w:r>
      <w:r w:rsidRPr="007426CF">
        <w:rPr>
          <w:rFonts w:ascii="Times New Roman" w:hAnsi="Times New Roman" w:cs="Times New Roman"/>
          <w:sz w:val="24"/>
          <w:szCs w:val="24"/>
        </w:rPr>
        <w:t xml:space="preserve">ont dominé par la pathologie ulcéreuse, l’hypertension portale et les érosions </w:t>
      </w:r>
      <w:r w:rsidR="000B24BA" w:rsidRPr="007426CF">
        <w:rPr>
          <w:rFonts w:ascii="Times New Roman" w:hAnsi="Times New Roman" w:cs="Times New Roman"/>
          <w:sz w:val="24"/>
          <w:szCs w:val="24"/>
        </w:rPr>
        <w:t>gastroduodénales</w:t>
      </w:r>
      <w:r w:rsidRPr="007426CF">
        <w:rPr>
          <w:rFonts w:ascii="Times New Roman" w:hAnsi="Times New Roman" w:cs="Times New Roman"/>
          <w:sz w:val="24"/>
          <w:szCs w:val="24"/>
        </w:rPr>
        <w:t xml:space="preserve">  dans environ 10% des cas, une étiologie rare est </w:t>
      </w:r>
      <w:r w:rsidR="007426CF" w:rsidRPr="007426CF">
        <w:rPr>
          <w:rFonts w:ascii="Times New Roman" w:hAnsi="Times New Roman" w:cs="Times New Roman"/>
          <w:sz w:val="24"/>
          <w:szCs w:val="24"/>
        </w:rPr>
        <w:t>retrouvée</w:t>
      </w:r>
      <w:r w:rsidR="007426CF">
        <w:rPr>
          <w:rFonts w:ascii="Times New Roman" w:hAnsi="Times New Roman" w:cs="Times New Roman"/>
          <w:sz w:val="24"/>
          <w:szCs w:val="24"/>
        </w:rPr>
        <w:t>.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6CF">
        <w:rPr>
          <w:rFonts w:ascii="Times New Roman" w:hAnsi="Times New Roman" w:cs="Times New Roman"/>
          <w:b/>
          <w:sz w:val="24"/>
          <w:szCs w:val="24"/>
        </w:rPr>
        <w:t>But de travail :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26CF">
        <w:rPr>
          <w:rFonts w:ascii="Times New Roman" w:hAnsi="Times New Roman" w:cs="Times New Roman"/>
          <w:sz w:val="24"/>
          <w:szCs w:val="24"/>
        </w:rPr>
        <w:t xml:space="preserve">Mettre point sur ces étiologies rares de l’hémorragie digestive haute 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6CF">
        <w:rPr>
          <w:rFonts w:ascii="Times New Roman" w:hAnsi="Times New Roman" w:cs="Times New Roman"/>
          <w:b/>
          <w:sz w:val="24"/>
          <w:szCs w:val="24"/>
        </w:rPr>
        <w:t>Matériel et méthode :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26CF">
        <w:rPr>
          <w:rFonts w:ascii="Times New Roman" w:hAnsi="Times New Roman" w:cs="Times New Roman"/>
          <w:sz w:val="24"/>
          <w:szCs w:val="24"/>
        </w:rPr>
        <w:t xml:space="preserve">Il s’agit d’une série de 39 patients colligée au service sur une </w:t>
      </w:r>
      <w:r w:rsidR="007426CF" w:rsidRPr="007426CF">
        <w:rPr>
          <w:rFonts w:ascii="Times New Roman" w:hAnsi="Times New Roman" w:cs="Times New Roman"/>
          <w:sz w:val="24"/>
          <w:szCs w:val="24"/>
        </w:rPr>
        <w:t>période</w:t>
      </w:r>
      <w:r w:rsidRPr="007426CF">
        <w:rPr>
          <w:rFonts w:ascii="Times New Roman" w:hAnsi="Times New Roman" w:cs="Times New Roman"/>
          <w:sz w:val="24"/>
          <w:szCs w:val="24"/>
        </w:rPr>
        <w:t xml:space="preserve"> de 5 </w:t>
      </w:r>
      <w:r w:rsidR="000B24BA" w:rsidRPr="007426CF">
        <w:rPr>
          <w:rFonts w:ascii="Times New Roman" w:hAnsi="Times New Roman" w:cs="Times New Roman"/>
          <w:sz w:val="24"/>
          <w:szCs w:val="24"/>
        </w:rPr>
        <w:t>ans.</w:t>
      </w:r>
    </w:p>
    <w:p w:rsidR="00A949A0" w:rsidRPr="007426CF" w:rsidRDefault="00A949A0" w:rsidP="007426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6CF">
        <w:rPr>
          <w:rFonts w:ascii="Times New Roman" w:hAnsi="Times New Roman" w:cs="Times New Roman"/>
          <w:b/>
          <w:sz w:val="24"/>
          <w:szCs w:val="24"/>
        </w:rPr>
        <w:t>Résultat :</w:t>
      </w:r>
    </w:p>
    <w:p w:rsidR="00A949A0" w:rsidRDefault="00A949A0" w:rsidP="007426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26CF">
        <w:rPr>
          <w:rFonts w:ascii="Times New Roman" w:hAnsi="Times New Roman" w:cs="Times New Roman"/>
          <w:sz w:val="24"/>
          <w:szCs w:val="24"/>
        </w:rPr>
        <w:t xml:space="preserve">Il s’agit de </w:t>
      </w:r>
      <w:r w:rsidR="007426CF" w:rsidRPr="007426CF">
        <w:rPr>
          <w:rFonts w:ascii="Times New Roman" w:hAnsi="Times New Roman" w:cs="Times New Roman"/>
          <w:sz w:val="24"/>
          <w:szCs w:val="24"/>
        </w:rPr>
        <w:t>28</w:t>
      </w:r>
      <w:r w:rsidRPr="007426CF">
        <w:rPr>
          <w:rFonts w:ascii="Times New Roman" w:hAnsi="Times New Roman" w:cs="Times New Roman"/>
          <w:sz w:val="24"/>
          <w:szCs w:val="24"/>
        </w:rPr>
        <w:t xml:space="preserve">  hommes  et de 11  femmes, dont l’âge moyen était 40 ans. Les étiologies retrouvées par : 16 cas de Mallory Weiss, 6 cas de tumeur stromale ,3 cas de </w:t>
      </w:r>
      <w:r w:rsidR="000B24BA" w:rsidRPr="007426CF">
        <w:rPr>
          <w:rFonts w:ascii="Times New Roman" w:hAnsi="Times New Roman" w:cs="Times New Roman"/>
          <w:sz w:val="24"/>
          <w:szCs w:val="24"/>
        </w:rPr>
        <w:t>Schwannome</w:t>
      </w:r>
      <w:r w:rsidRPr="007426CF">
        <w:rPr>
          <w:rFonts w:ascii="Times New Roman" w:hAnsi="Times New Roman" w:cs="Times New Roman"/>
          <w:sz w:val="24"/>
          <w:szCs w:val="24"/>
        </w:rPr>
        <w:t xml:space="preserve"> </w:t>
      </w:r>
      <w:r w:rsidR="007426CF" w:rsidRPr="007426CF">
        <w:rPr>
          <w:rFonts w:ascii="Times New Roman" w:hAnsi="Times New Roman" w:cs="Times New Roman"/>
          <w:sz w:val="24"/>
          <w:szCs w:val="24"/>
        </w:rPr>
        <w:t>gastroduodénal</w:t>
      </w:r>
      <w:r w:rsidRPr="007426CF">
        <w:rPr>
          <w:rFonts w:ascii="Times New Roman" w:hAnsi="Times New Roman" w:cs="Times New Roman"/>
          <w:sz w:val="24"/>
          <w:szCs w:val="24"/>
        </w:rPr>
        <w:t xml:space="preserve">, 4 cas d’œsophagite peptique,  3 cas de diverticule bulbaire, 3 cas de angiodysplasie, 2  cas de hémobilie, un cas  de corps étranger, un  cas de  polype </w:t>
      </w:r>
      <w:r w:rsidR="007426CF" w:rsidRPr="007426CF">
        <w:rPr>
          <w:rFonts w:ascii="Times New Roman" w:hAnsi="Times New Roman" w:cs="Times New Roman"/>
          <w:sz w:val="24"/>
          <w:szCs w:val="24"/>
        </w:rPr>
        <w:t>gastrique</w:t>
      </w:r>
      <w:r w:rsidR="007426CF">
        <w:rPr>
          <w:rFonts w:ascii="Times New Roman" w:hAnsi="Times New Roman" w:cs="Times New Roman"/>
          <w:sz w:val="24"/>
          <w:szCs w:val="24"/>
        </w:rPr>
        <w:t>.</w:t>
      </w:r>
    </w:p>
    <w:p w:rsidR="007426CF" w:rsidRPr="007426CF" w:rsidRDefault="007426CF" w:rsidP="007426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6C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426CF" w:rsidRPr="007426CF" w:rsidRDefault="007426CF" w:rsidP="007426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causes rares de l’hémorragie digestive haute sont dominées par le syndrome de Mallory Weiss, les anomalies vasculaires, le diagnostic se fait par l’endoscopie digestive </w:t>
      </w:r>
      <w:r w:rsidR="000B24BA">
        <w:rPr>
          <w:rFonts w:ascii="Times New Roman" w:hAnsi="Times New Roman" w:cs="Times New Roman"/>
          <w:sz w:val="24"/>
          <w:szCs w:val="24"/>
        </w:rPr>
        <w:t>haute.</w:t>
      </w:r>
    </w:p>
    <w:sectPr w:rsidR="007426CF" w:rsidRPr="007426CF" w:rsidSect="00BB5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949A0"/>
    <w:rsid w:val="000B24BA"/>
    <w:rsid w:val="0050024B"/>
    <w:rsid w:val="007426CF"/>
    <w:rsid w:val="00A949A0"/>
    <w:rsid w:val="00B4597B"/>
    <w:rsid w:val="00BB572C"/>
    <w:rsid w:val="00EE1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7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2017-01-14T15:16:00Z</dcterms:created>
  <dcterms:modified xsi:type="dcterms:W3CDTF">2017-01-24T20:02:00Z</dcterms:modified>
</cp:coreProperties>
</file>