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3C5" w:rsidRPr="00D44793" w:rsidRDefault="009353C5" w:rsidP="00D4479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793">
        <w:rPr>
          <w:rFonts w:ascii="Times New Roman" w:hAnsi="Times New Roman" w:cs="Times New Roman"/>
          <w:b/>
          <w:sz w:val="28"/>
          <w:szCs w:val="28"/>
        </w:rPr>
        <w:t>ASPECTS ENDOSCOPIQUES DES LYMPHOMES GASTRIQUES</w:t>
      </w:r>
    </w:p>
    <w:p w:rsidR="009353C5" w:rsidRPr="00D44793" w:rsidRDefault="009353C5" w:rsidP="00D4479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EAE" w:rsidRPr="00D44793" w:rsidRDefault="006C1EAE" w:rsidP="00D44793">
      <w:pPr>
        <w:spacing w:line="240" w:lineRule="auto"/>
        <w:rPr>
          <w:rFonts w:ascii="Times New Roman" w:hAnsi="Times New Roman" w:cs="Times New Roman"/>
          <w:b/>
        </w:rPr>
      </w:pPr>
      <w:r w:rsidRPr="00D44793">
        <w:rPr>
          <w:rFonts w:ascii="Times New Roman" w:hAnsi="Times New Roman" w:cs="Times New Roman"/>
          <w:b/>
        </w:rPr>
        <w:t xml:space="preserve">Introduction : </w:t>
      </w:r>
    </w:p>
    <w:p w:rsidR="009353C5" w:rsidRPr="00D44793" w:rsidRDefault="006C1EAE" w:rsidP="00D44793">
      <w:pPr>
        <w:spacing w:line="240" w:lineRule="auto"/>
        <w:rPr>
          <w:rFonts w:ascii="Times New Roman" w:hAnsi="Times New Roman" w:cs="Times New Roman"/>
        </w:rPr>
      </w:pPr>
      <w:r w:rsidRPr="00D44793">
        <w:rPr>
          <w:rFonts w:ascii="Times New Roman" w:hAnsi="Times New Roman" w:cs="Times New Roman"/>
        </w:rPr>
        <w:t xml:space="preserve">Les lymphomes gastriques constituent une pathologie rare, ils ne représentent que 3% des tumeurs gastriques. </w:t>
      </w:r>
    </w:p>
    <w:p w:rsidR="006C1EAE" w:rsidRPr="00D44793" w:rsidRDefault="006C1EAE" w:rsidP="00D44793">
      <w:pPr>
        <w:spacing w:line="240" w:lineRule="auto"/>
        <w:rPr>
          <w:rFonts w:ascii="Times New Roman" w:hAnsi="Times New Roman" w:cs="Times New Roman"/>
        </w:rPr>
      </w:pPr>
      <w:r w:rsidRPr="00D44793">
        <w:rPr>
          <w:rFonts w:ascii="Times New Roman" w:hAnsi="Times New Roman" w:cs="Times New Roman"/>
        </w:rPr>
        <w:t>L’objectif de ce travail est de préciser le profil épidémiologique, endoscopique et diagnostique des lymphomes gastriques.</w:t>
      </w:r>
    </w:p>
    <w:p w:rsidR="006C1EAE" w:rsidRPr="00D44793" w:rsidRDefault="006C1EAE" w:rsidP="00D44793">
      <w:pPr>
        <w:spacing w:line="240" w:lineRule="auto"/>
        <w:rPr>
          <w:rFonts w:ascii="Times New Roman" w:hAnsi="Times New Roman" w:cs="Times New Roman"/>
          <w:b/>
        </w:rPr>
      </w:pPr>
      <w:r w:rsidRPr="00D44793">
        <w:rPr>
          <w:rFonts w:ascii="Times New Roman" w:hAnsi="Times New Roman" w:cs="Times New Roman"/>
        </w:rPr>
        <w:t xml:space="preserve"> </w:t>
      </w:r>
      <w:r w:rsidRPr="00D44793">
        <w:rPr>
          <w:rFonts w:ascii="Times New Roman" w:hAnsi="Times New Roman" w:cs="Times New Roman"/>
          <w:b/>
        </w:rPr>
        <w:t xml:space="preserve">Matériels et méthodes : </w:t>
      </w:r>
    </w:p>
    <w:p w:rsidR="006C1EAE" w:rsidRPr="00D44793" w:rsidRDefault="006C1EAE" w:rsidP="00D44793">
      <w:pPr>
        <w:spacing w:line="240" w:lineRule="auto"/>
        <w:rPr>
          <w:rFonts w:ascii="Times New Roman" w:hAnsi="Times New Roman" w:cs="Times New Roman"/>
        </w:rPr>
      </w:pPr>
      <w:r w:rsidRPr="00D44793">
        <w:rPr>
          <w:rFonts w:ascii="Times New Roman" w:hAnsi="Times New Roman" w:cs="Times New Roman"/>
        </w:rPr>
        <w:t xml:space="preserve">Il s'agit d'une étude rétrospective à propos de 46 cas colligés au service de gastro- entérologie et </w:t>
      </w:r>
      <w:proofErr w:type="gramStart"/>
      <w:r w:rsidRPr="00D44793">
        <w:rPr>
          <w:rFonts w:ascii="Times New Roman" w:hAnsi="Times New Roman" w:cs="Times New Roman"/>
        </w:rPr>
        <w:t xml:space="preserve">hépatologie </w:t>
      </w:r>
      <w:r w:rsidR="00D44793">
        <w:rPr>
          <w:rFonts w:ascii="Times New Roman" w:hAnsi="Times New Roman" w:cs="Times New Roman"/>
        </w:rPr>
        <w:t>,</w:t>
      </w:r>
      <w:r w:rsidRPr="00D44793">
        <w:rPr>
          <w:rFonts w:ascii="Times New Roman" w:hAnsi="Times New Roman" w:cs="Times New Roman"/>
        </w:rPr>
        <w:t>de</w:t>
      </w:r>
      <w:proofErr w:type="gramEnd"/>
      <w:r w:rsidRPr="00D44793">
        <w:rPr>
          <w:rFonts w:ascii="Times New Roman" w:hAnsi="Times New Roman" w:cs="Times New Roman"/>
        </w:rPr>
        <w:t xml:space="preserve"> Janvier 2005 à Novembre 2016. </w:t>
      </w:r>
    </w:p>
    <w:p w:rsidR="006C1EAE" w:rsidRPr="00D44793" w:rsidRDefault="006C1EAE" w:rsidP="00D44793">
      <w:pPr>
        <w:spacing w:line="240" w:lineRule="auto"/>
        <w:rPr>
          <w:rFonts w:ascii="Times New Roman" w:hAnsi="Times New Roman" w:cs="Times New Roman"/>
          <w:b/>
        </w:rPr>
      </w:pPr>
      <w:r w:rsidRPr="00D44793">
        <w:rPr>
          <w:rFonts w:ascii="Times New Roman" w:hAnsi="Times New Roman" w:cs="Times New Roman"/>
          <w:b/>
        </w:rPr>
        <w:t xml:space="preserve">Résultats : </w:t>
      </w:r>
    </w:p>
    <w:p w:rsidR="006C1EAE" w:rsidRPr="00D44793" w:rsidRDefault="006C1EAE" w:rsidP="00D44793">
      <w:pPr>
        <w:spacing w:line="240" w:lineRule="auto"/>
        <w:rPr>
          <w:rFonts w:ascii="Times New Roman" w:hAnsi="Times New Roman" w:cs="Times New Roman"/>
        </w:rPr>
      </w:pPr>
      <w:r w:rsidRPr="00D44793">
        <w:rPr>
          <w:rFonts w:ascii="Times New Roman" w:hAnsi="Times New Roman" w:cs="Times New Roman"/>
        </w:rPr>
        <w:t xml:space="preserve">L’âge moyen est de 54 ans, avec une prédominance masculine. Le tableau clinique était dominé par l’altération de l’état général dans 93%, l’hémorragie digestive dans 41% des cas, et les </w:t>
      </w:r>
      <w:proofErr w:type="spellStart"/>
      <w:r w:rsidRPr="00D44793">
        <w:rPr>
          <w:rFonts w:ascii="Times New Roman" w:hAnsi="Times New Roman" w:cs="Times New Roman"/>
        </w:rPr>
        <w:t>épigastralgies</w:t>
      </w:r>
      <w:proofErr w:type="spellEnd"/>
      <w:r w:rsidRPr="00D44793">
        <w:rPr>
          <w:rFonts w:ascii="Times New Roman" w:hAnsi="Times New Roman" w:cs="Times New Roman"/>
        </w:rPr>
        <w:t xml:space="preserve"> dans 38% des cas. La fibroscopie digestive haute a montré un processus </w:t>
      </w:r>
      <w:proofErr w:type="spellStart"/>
      <w:r w:rsidRPr="00D44793">
        <w:rPr>
          <w:rFonts w:ascii="Times New Roman" w:hAnsi="Times New Roman" w:cs="Times New Roman"/>
        </w:rPr>
        <w:t>ulcéro</w:t>
      </w:r>
      <w:proofErr w:type="spellEnd"/>
      <w:r w:rsidRPr="00D44793">
        <w:rPr>
          <w:rFonts w:ascii="Times New Roman" w:hAnsi="Times New Roman" w:cs="Times New Roman"/>
        </w:rPr>
        <w:t xml:space="preserve">-bourgeonnant dans 63% des cas, des gros plis dans 25% et une muqueuse infiltrée dans 12% des cas. L étude histologique a confirmé le diagnostic en montrant des LMNH avec des lésions indifférenciées et </w:t>
      </w:r>
      <w:proofErr w:type="spellStart"/>
      <w:r w:rsidRPr="00D44793">
        <w:rPr>
          <w:rFonts w:ascii="Times New Roman" w:hAnsi="Times New Roman" w:cs="Times New Roman"/>
        </w:rPr>
        <w:t>infiltrantes</w:t>
      </w:r>
      <w:proofErr w:type="spellEnd"/>
      <w:r w:rsidRPr="00D44793">
        <w:rPr>
          <w:rFonts w:ascii="Times New Roman" w:hAnsi="Times New Roman" w:cs="Times New Roman"/>
        </w:rPr>
        <w:t xml:space="preserve"> dans 34% des cas, et présence de l’HP dans 80% des cas. L’</w:t>
      </w:r>
      <w:proofErr w:type="spellStart"/>
      <w:r w:rsidRPr="00D44793">
        <w:rPr>
          <w:rFonts w:ascii="Times New Roman" w:hAnsi="Times New Roman" w:cs="Times New Roman"/>
        </w:rPr>
        <w:t>immuno</w:t>
      </w:r>
      <w:proofErr w:type="spellEnd"/>
      <w:r w:rsidRPr="00D44793">
        <w:rPr>
          <w:rFonts w:ascii="Times New Roman" w:hAnsi="Times New Roman" w:cs="Times New Roman"/>
        </w:rPr>
        <w:t>-histochimie a ré</w:t>
      </w:r>
      <w:r w:rsidR="009353C5" w:rsidRPr="00D44793">
        <w:rPr>
          <w:rFonts w:ascii="Times New Roman" w:hAnsi="Times New Roman" w:cs="Times New Roman"/>
        </w:rPr>
        <w:t>vélé un lymphome de Malt dans 3</w:t>
      </w:r>
      <w:r w:rsidRPr="00D44793">
        <w:rPr>
          <w:rFonts w:ascii="Times New Roman" w:hAnsi="Times New Roman" w:cs="Times New Roman"/>
        </w:rPr>
        <w:t>7</w:t>
      </w:r>
      <w:r w:rsidR="009353C5" w:rsidRPr="00D44793">
        <w:rPr>
          <w:rFonts w:ascii="Times New Roman" w:hAnsi="Times New Roman" w:cs="Times New Roman"/>
        </w:rPr>
        <w:t>,6% des cas, et 5</w:t>
      </w:r>
      <w:r w:rsidRPr="00D44793">
        <w:rPr>
          <w:rFonts w:ascii="Times New Roman" w:hAnsi="Times New Roman" w:cs="Times New Roman"/>
        </w:rPr>
        <w:t xml:space="preserve">2,4% de lymphomes B à grandes cellules. Le bilan d’extension est basé sur un examen ORL, une colonoscopie, une échographie abdominale, une TDM </w:t>
      </w:r>
      <w:proofErr w:type="spellStart"/>
      <w:r w:rsidRPr="00D44793">
        <w:rPr>
          <w:rFonts w:ascii="Times New Roman" w:hAnsi="Times New Roman" w:cs="Times New Roman"/>
        </w:rPr>
        <w:t>thoraco</w:t>
      </w:r>
      <w:proofErr w:type="spellEnd"/>
      <w:r w:rsidRPr="00D44793">
        <w:rPr>
          <w:rFonts w:ascii="Times New Roman" w:hAnsi="Times New Roman" w:cs="Times New Roman"/>
        </w:rPr>
        <w:t xml:space="preserve">-abdomino-pelvienne qui a montré un épaississement circonférentiel pariétal irrégulier de la région antrale dans 45%, une biopsie </w:t>
      </w:r>
      <w:proofErr w:type="spellStart"/>
      <w:r w:rsidRPr="00D44793">
        <w:rPr>
          <w:rFonts w:ascii="Times New Roman" w:hAnsi="Times New Roman" w:cs="Times New Roman"/>
        </w:rPr>
        <w:t>ostéo</w:t>
      </w:r>
      <w:proofErr w:type="spellEnd"/>
      <w:r w:rsidRPr="00D44793">
        <w:rPr>
          <w:rFonts w:ascii="Times New Roman" w:hAnsi="Times New Roman" w:cs="Times New Roman"/>
        </w:rPr>
        <w:t xml:space="preserve"> –médullaire et un transit du grêle. Ce bilan a permis de classer les malades selon la classification de Ann Arbor modifié par </w:t>
      </w:r>
      <w:proofErr w:type="spellStart"/>
      <w:r w:rsidRPr="00D44793">
        <w:rPr>
          <w:rFonts w:ascii="Times New Roman" w:hAnsi="Times New Roman" w:cs="Times New Roman"/>
        </w:rPr>
        <w:t>Mushoff</w:t>
      </w:r>
      <w:proofErr w:type="spellEnd"/>
      <w:r w:rsidRPr="00D44793">
        <w:rPr>
          <w:rFonts w:ascii="Times New Roman" w:hAnsi="Times New Roman" w:cs="Times New Roman"/>
        </w:rPr>
        <w:t xml:space="preserve">, et a révélé 14,8% des lymphomes localisés stade I, et 43,4% des lymphomes stades IV. Le traitement s’est basé sur l’antibiothérapie pour les lymphomes localisés ; et la poly chimiothérapie pour les lymphomes étendus. </w:t>
      </w:r>
    </w:p>
    <w:p w:rsidR="006C1EAE" w:rsidRPr="00D44793" w:rsidRDefault="006C1EAE" w:rsidP="00D44793">
      <w:pPr>
        <w:spacing w:line="240" w:lineRule="auto"/>
        <w:rPr>
          <w:rFonts w:ascii="Times New Roman" w:hAnsi="Times New Roman" w:cs="Times New Roman"/>
          <w:b/>
        </w:rPr>
      </w:pPr>
      <w:r w:rsidRPr="00D44793">
        <w:rPr>
          <w:rFonts w:ascii="Times New Roman" w:hAnsi="Times New Roman" w:cs="Times New Roman"/>
          <w:b/>
        </w:rPr>
        <w:t>Conclusion :</w:t>
      </w:r>
    </w:p>
    <w:p w:rsidR="00990F93" w:rsidRPr="00D44793" w:rsidRDefault="006C1EAE" w:rsidP="00D44793">
      <w:pPr>
        <w:spacing w:line="240" w:lineRule="auto"/>
        <w:rPr>
          <w:rFonts w:ascii="Times New Roman" w:hAnsi="Times New Roman" w:cs="Times New Roman"/>
        </w:rPr>
      </w:pPr>
      <w:r w:rsidRPr="00D44793">
        <w:rPr>
          <w:rFonts w:ascii="Times New Roman" w:hAnsi="Times New Roman" w:cs="Times New Roman"/>
        </w:rPr>
        <w:t xml:space="preserve"> Le lymphome gastrique est une pathologie de l’adulte jeune ; les manifestations cliniques ne sont pas spécifiques.</w:t>
      </w:r>
    </w:p>
    <w:sectPr w:rsidR="00990F93" w:rsidRPr="00D44793" w:rsidSect="00232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6C1EAE"/>
    <w:rsid w:val="0023289F"/>
    <w:rsid w:val="0050024B"/>
    <w:rsid w:val="006C1EAE"/>
    <w:rsid w:val="007D74D5"/>
    <w:rsid w:val="008E7B11"/>
    <w:rsid w:val="009353C5"/>
    <w:rsid w:val="00B4597B"/>
    <w:rsid w:val="00D44793"/>
    <w:rsid w:val="00F21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89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2017-01-03T11:37:00Z</dcterms:created>
  <dcterms:modified xsi:type="dcterms:W3CDTF">2017-02-04T13:44:00Z</dcterms:modified>
</cp:coreProperties>
</file>