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F93" w:rsidRDefault="007E6906" w:rsidP="00B42F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2FA1">
        <w:rPr>
          <w:rFonts w:ascii="Times New Roman" w:hAnsi="Times New Roman" w:cs="Times New Roman"/>
          <w:b/>
          <w:sz w:val="24"/>
          <w:szCs w:val="24"/>
        </w:rPr>
        <w:t>Adénocarcinome</w:t>
      </w:r>
      <w:r w:rsidR="00B42FA1" w:rsidRPr="00B42FA1">
        <w:rPr>
          <w:rFonts w:ascii="Times New Roman" w:hAnsi="Times New Roman" w:cs="Times New Roman"/>
          <w:b/>
          <w:sz w:val="24"/>
          <w:szCs w:val="24"/>
        </w:rPr>
        <w:t xml:space="preserve"> sur endobrachyoesophage</w:t>
      </w:r>
    </w:p>
    <w:p w:rsidR="00B42FA1" w:rsidRDefault="00B42FA1" w:rsidP="00B42FA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FA1" w:rsidRDefault="00B42FA1" w:rsidP="00B42FA1">
      <w:pPr>
        <w:rPr>
          <w:rFonts w:ascii="Times New Roman" w:hAnsi="Times New Roman" w:cs="Times New Roman"/>
          <w:sz w:val="24"/>
          <w:szCs w:val="24"/>
        </w:rPr>
      </w:pPr>
      <w:r w:rsidRPr="00B42FA1">
        <w:rPr>
          <w:rFonts w:ascii="Times New Roman" w:hAnsi="Times New Roman" w:cs="Times New Roman"/>
          <w:sz w:val="24"/>
          <w:szCs w:val="24"/>
        </w:rPr>
        <w:t>L’adénocarcinome</w:t>
      </w:r>
      <w:r w:rsidR="009A4244">
        <w:rPr>
          <w:rFonts w:ascii="Times New Roman" w:hAnsi="Times New Roman" w:cs="Times New Roman"/>
          <w:sz w:val="24"/>
          <w:szCs w:val="24"/>
        </w:rPr>
        <w:t xml:space="preserve"> (ADK)</w:t>
      </w:r>
      <w:r>
        <w:rPr>
          <w:rFonts w:ascii="Times New Roman" w:hAnsi="Times New Roman" w:cs="Times New Roman"/>
          <w:sz w:val="24"/>
          <w:szCs w:val="24"/>
        </w:rPr>
        <w:t xml:space="preserve"> de l’œsophage est en </w:t>
      </w:r>
      <w:r w:rsidR="007E6906">
        <w:rPr>
          <w:rFonts w:ascii="Times New Roman" w:hAnsi="Times New Roman" w:cs="Times New Roman"/>
          <w:sz w:val="24"/>
          <w:szCs w:val="24"/>
        </w:rPr>
        <w:t>augmentation. Il</w:t>
      </w:r>
      <w:r>
        <w:rPr>
          <w:rFonts w:ascii="Times New Roman" w:hAnsi="Times New Roman" w:cs="Times New Roman"/>
          <w:sz w:val="24"/>
          <w:szCs w:val="24"/>
        </w:rPr>
        <w:t xml:space="preserve"> est la </w:t>
      </w:r>
      <w:r w:rsidR="007E6906">
        <w:rPr>
          <w:rFonts w:ascii="Times New Roman" w:hAnsi="Times New Roman" w:cs="Times New Roman"/>
          <w:sz w:val="24"/>
          <w:szCs w:val="24"/>
        </w:rPr>
        <w:t>conséquence</w:t>
      </w:r>
      <w:r>
        <w:rPr>
          <w:rFonts w:ascii="Times New Roman" w:hAnsi="Times New Roman" w:cs="Times New Roman"/>
          <w:sz w:val="24"/>
          <w:szCs w:val="24"/>
        </w:rPr>
        <w:t xml:space="preserve"> de la dégénérescence d’un endobrachyoesophage</w:t>
      </w:r>
      <w:r w:rsidR="009A4244">
        <w:rPr>
          <w:rFonts w:ascii="Times New Roman" w:hAnsi="Times New Roman" w:cs="Times New Roman"/>
          <w:sz w:val="24"/>
          <w:szCs w:val="24"/>
        </w:rPr>
        <w:t xml:space="preserve"> (EBO),</w:t>
      </w:r>
      <w:r w:rsidR="007E6906">
        <w:rPr>
          <w:rFonts w:ascii="Times New Roman" w:hAnsi="Times New Roman" w:cs="Times New Roman"/>
          <w:sz w:val="24"/>
          <w:szCs w:val="24"/>
        </w:rPr>
        <w:t xml:space="preserve"> lui-même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6906">
        <w:rPr>
          <w:rFonts w:ascii="Times New Roman" w:hAnsi="Times New Roman" w:cs="Times New Roman"/>
          <w:sz w:val="24"/>
          <w:szCs w:val="24"/>
        </w:rPr>
        <w:t>conséquence</w:t>
      </w:r>
      <w:r>
        <w:rPr>
          <w:rFonts w:ascii="Times New Roman" w:hAnsi="Times New Roman" w:cs="Times New Roman"/>
          <w:sz w:val="24"/>
          <w:szCs w:val="24"/>
        </w:rPr>
        <w:t xml:space="preserve"> d’un reflux </w:t>
      </w:r>
      <w:r w:rsidR="007E6906">
        <w:rPr>
          <w:rFonts w:ascii="Times New Roman" w:hAnsi="Times New Roman" w:cs="Times New Roman"/>
          <w:sz w:val="24"/>
          <w:szCs w:val="24"/>
        </w:rPr>
        <w:t>gastrooesophagien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6906">
        <w:rPr>
          <w:rFonts w:ascii="Times New Roman" w:hAnsi="Times New Roman" w:cs="Times New Roman"/>
          <w:sz w:val="24"/>
          <w:szCs w:val="24"/>
        </w:rPr>
        <w:t>pathologique. Il représente</w:t>
      </w:r>
      <w:r>
        <w:rPr>
          <w:rFonts w:ascii="Times New Roman" w:hAnsi="Times New Roman" w:cs="Times New Roman"/>
          <w:sz w:val="24"/>
          <w:szCs w:val="24"/>
        </w:rPr>
        <w:t xml:space="preserve"> actuellement 20% des cancers  de l’œsophage</w:t>
      </w:r>
    </w:p>
    <w:p w:rsidR="00B42FA1" w:rsidRPr="00B42FA1" w:rsidRDefault="00B42FA1" w:rsidP="00B42FA1">
      <w:pPr>
        <w:rPr>
          <w:rFonts w:ascii="Times New Roman" w:hAnsi="Times New Roman" w:cs="Times New Roman"/>
          <w:b/>
          <w:sz w:val="24"/>
          <w:szCs w:val="24"/>
        </w:rPr>
      </w:pPr>
      <w:r w:rsidRPr="00B42FA1">
        <w:rPr>
          <w:rFonts w:ascii="Times New Roman" w:hAnsi="Times New Roman" w:cs="Times New Roman"/>
          <w:b/>
          <w:sz w:val="24"/>
          <w:szCs w:val="24"/>
        </w:rPr>
        <w:t>Le but de travail :</w:t>
      </w:r>
    </w:p>
    <w:p w:rsidR="00B42FA1" w:rsidRDefault="00B42FA1" w:rsidP="00B42F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6906">
        <w:rPr>
          <w:rFonts w:ascii="Times New Roman" w:hAnsi="Times New Roman" w:cs="Times New Roman"/>
          <w:sz w:val="24"/>
          <w:szCs w:val="24"/>
        </w:rPr>
        <w:t>Rapporter à</w:t>
      </w:r>
      <w:r>
        <w:rPr>
          <w:rFonts w:ascii="Times New Roman" w:hAnsi="Times New Roman" w:cs="Times New Roman"/>
          <w:sz w:val="24"/>
          <w:szCs w:val="24"/>
        </w:rPr>
        <w:t xml:space="preserve"> travers notre étude et une revue de </w:t>
      </w:r>
      <w:r w:rsidR="007E6906">
        <w:rPr>
          <w:rFonts w:ascii="Times New Roman" w:hAnsi="Times New Roman" w:cs="Times New Roman"/>
          <w:sz w:val="24"/>
          <w:szCs w:val="24"/>
        </w:rPr>
        <w:t>littérature, les particularités diagnostiques et thérapeutiques de ce cancer, et d’insister sur l’importance de la surveillance de l’EBO</w:t>
      </w:r>
    </w:p>
    <w:p w:rsidR="00B42FA1" w:rsidRDefault="00B42FA1" w:rsidP="00B42FA1">
      <w:pPr>
        <w:rPr>
          <w:rFonts w:ascii="Times New Roman" w:hAnsi="Times New Roman" w:cs="Times New Roman"/>
          <w:sz w:val="24"/>
          <w:szCs w:val="24"/>
        </w:rPr>
      </w:pPr>
      <w:r w:rsidRPr="00B42FA1">
        <w:rPr>
          <w:rFonts w:ascii="Times New Roman" w:hAnsi="Times New Roman" w:cs="Times New Roman"/>
          <w:b/>
          <w:sz w:val="24"/>
          <w:szCs w:val="24"/>
        </w:rPr>
        <w:t>Matériel et méthode</w:t>
      </w:r>
      <w:r>
        <w:rPr>
          <w:rFonts w:ascii="Times New Roman" w:hAnsi="Times New Roman" w:cs="Times New Roman"/>
          <w:sz w:val="24"/>
          <w:szCs w:val="24"/>
        </w:rPr>
        <w:t> :</w:t>
      </w:r>
    </w:p>
    <w:p w:rsidR="00B42FA1" w:rsidRDefault="00B42FA1" w:rsidP="00B42F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s’agit d’une étude rétrospective réalisée sur une période  de 9ans </w:t>
      </w:r>
      <w:r w:rsidR="009A4244">
        <w:rPr>
          <w:rFonts w:ascii="Times New Roman" w:hAnsi="Times New Roman" w:cs="Times New Roman"/>
          <w:sz w:val="24"/>
          <w:szCs w:val="24"/>
        </w:rPr>
        <w:t>(2008</w:t>
      </w:r>
      <w:r>
        <w:rPr>
          <w:rFonts w:ascii="Times New Roman" w:hAnsi="Times New Roman" w:cs="Times New Roman"/>
          <w:sz w:val="24"/>
          <w:szCs w:val="24"/>
        </w:rPr>
        <w:t xml:space="preserve">-2016) concernant 13 patients atteints d’ADK de l’œsophage survenant sur EBO colligés au service </w:t>
      </w:r>
    </w:p>
    <w:p w:rsidR="00B42FA1" w:rsidRDefault="00B42FA1" w:rsidP="00B42FA1">
      <w:pPr>
        <w:rPr>
          <w:rFonts w:ascii="Times New Roman" w:hAnsi="Times New Roman" w:cs="Times New Roman"/>
          <w:b/>
          <w:sz w:val="24"/>
          <w:szCs w:val="24"/>
        </w:rPr>
      </w:pPr>
      <w:r w:rsidRPr="00B42FA1">
        <w:rPr>
          <w:rFonts w:ascii="Times New Roman" w:hAnsi="Times New Roman" w:cs="Times New Roman"/>
          <w:b/>
          <w:sz w:val="24"/>
          <w:szCs w:val="24"/>
        </w:rPr>
        <w:t>Résultat :</w:t>
      </w:r>
    </w:p>
    <w:p w:rsidR="00B42FA1" w:rsidRDefault="00B42FA1" w:rsidP="00B42FA1">
      <w:pPr>
        <w:rPr>
          <w:rFonts w:ascii="Times New Roman" w:hAnsi="Times New Roman" w:cs="Times New Roman"/>
          <w:sz w:val="24"/>
          <w:szCs w:val="24"/>
        </w:rPr>
      </w:pPr>
      <w:r w:rsidRPr="00B42FA1">
        <w:rPr>
          <w:rFonts w:ascii="Times New Roman" w:hAnsi="Times New Roman" w:cs="Times New Roman"/>
          <w:sz w:val="24"/>
          <w:szCs w:val="24"/>
        </w:rPr>
        <w:t>Il s’agit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686F">
        <w:rPr>
          <w:rFonts w:ascii="Times New Roman" w:hAnsi="Times New Roman" w:cs="Times New Roman"/>
          <w:sz w:val="24"/>
          <w:szCs w:val="24"/>
        </w:rPr>
        <w:t>2</w:t>
      </w:r>
      <w:r w:rsidRPr="00B42FA1">
        <w:rPr>
          <w:rFonts w:ascii="Times New Roman" w:hAnsi="Times New Roman" w:cs="Times New Roman"/>
          <w:sz w:val="24"/>
          <w:szCs w:val="24"/>
        </w:rPr>
        <w:t xml:space="preserve"> femmes et </w:t>
      </w:r>
      <w:r w:rsidR="0079686F">
        <w:rPr>
          <w:rFonts w:ascii="Times New Roman" w:hAnsi="Times New Roman" w:cs="Times New Roman"/>
          <w:sz w:val="24"/>
          <w:szCs w:val="24"/>
        </w:rPr>
        <w:t xml:space="preserve"> 11 </w:t>
      </w:r>
      <w:r w:rsidRPr="00B42FA1">
        <w:rPr>
          <w:rFonts w:ascii="Times New Roman" w:hAnsi="Times New Roman" w:cs="Times New Roman"/>
          <w:sz w:val="24"/>
          <w:szCs w:val="24"/>
        </w:rPr>
        <w:t>hommes</w:t>
      </w:r>
      <w:r w:rsidR="0079686F">
        <w:rPr>
          <w:rFonts w:ascii="Times New Roman" w:hAnsi="Times New Roman" w:cs="Times New Roman"/>
          <w:sz w:val="24"/>
          <w:szCs w:val="24"/>
        </w:rPr>
        <w:t xml:space="preserve"> âgé en moyenne de 63 ans, ayant antécédent de reflux gastro-</w:t>
      </w:r>
      <w:r w:rsidR="007E6906">
        <w:rPr>
          <w:rFonts w:ascii="Times New Roman" w:hAnsi="Times New Roman" w:cs="Times New Roman"/>
          <w:sz w:val="24"/>
          <w:szCs w:val="24"/>
        </w:rPr>
        <w:t>œsophagien</w:t>
      </w:r>
      <w:r w:rsidR="0079686F">
        <w:rPr>
          <w:rFonts w:ascii="Times New Roman" w:hAnsi="Times New Roman" w:cs="Times New Roman"/>
          <w:sz w:val="24"/>
          <w:szCs w:val="24"/>
        </w:rPr>
        <w:t xml:space="preserve"> non exploré.  Le motif de consultation était une dysphagie avec </w:t>
      </w:r>
      <w:r w:rsidR="007E6906">
        <w:rPr>
          <w:rFonts w:ascii="Times New Roman" w:hAnsi="Times New Roman" w:cs="Times New Roman"/>
          <w:sz w:val="24"/>
          <w:szCs w:val="24"/>
        </w:rPr>
        <w:t>altération</w:t>
      </w:r>
      <w:r w:rsidR="0079686F">
        <w:rPr>
          <w:rFonts w:ascii="Times New Roman" w:hAnsi="Times New Roman" w:cs="Times New Roman"/>
          <w:sz w:val="24"/>
          <w:szCs w:val="24"/>
        </w:rPr>
        <w:t xml:space="preserve"> de l’</w:t>
      </w:r>
      <w:r w:rsidR="007E6906">
        <w:rPr>
          <w:rFonts w:ascii="Times New Roman" w:hAnsi="Times New Roman" w:cs="Times New Roman"/>
          <w:sz w:val="24"/>
          <w:szCs w:val="24"/>
        </w:rPr>
        <w:t>état</w:t>
      </w:r>
      <w:r w:rsidR="0079686F">
        <w:rPr>
          <w:rFonts w:ascii="Times New Roman" w:hAnsi="Times New Roman" w:cs="Times New Roman"/>
          <w:sz w:val="24"/>
          <w:szCs w:val="24"/>
        </w:rPr>
        <w:t xml:space="preserve"> </w:t>
      </w:r>
      <w:r w:rsidR="007E6906">
        <w:rPr>
          <w:rFonts w:ascii="Times New Roman" w:hAnsi="Times New Roman" w:cs="Times New Roman"/>
          <w:sz w:val="24"/>
          <w:szCs w:val="24"/>
        </w:rPr>
        <w:t>général</w:t>
      </w:r>
      <w:r w:rsidR="0079686F">
        <w:rPr>
          <w:rFonts w:ascii="Times New Roman" w:hAnsi="Times New Roman" w:cs="Times New Roman"/>
          <w:sz w:val="24"/>
          <w:szCs w:val="24"/>
        </w:rPr>
        <w:t xml:space="preserve"> chez tous nos </w:t>
      </w:r>
      <w:r w:rsidR="007E6906">
        <w:rPr>
          <w:rFonts w:ascii="Times New Roman" w:hAnsi="Times New Roman" w:cs="Times New Roman"/>
          <w:sz w:val="24"/>
          <w:szCs w:val="24"/>
        </w:rPr>
        <w:t>patients. L’endoscopie</w:t>
      </w:r>
      <w:r w:rsidR="0079686F">
        <w:rPr>
          <w:rFonts w:ascii="Times New Roman" w:hAnsi="Times New Roman" w:cs="Times New Roman"/>
          <w:sz w:val="24"/>
          <w:szCs w:val="24"/>
        </w:rPr>
        <w:t xml:space="preserve"> </w:t>
      </w:r>
      <w:r w:rsidR="009A4244">
        <w:rPr>
          <w:rFonts w:ascii="Times New Roman" w:hAnsi="Times New Roman" w:cs="Times New Roman"/>
          <w:sz w:val="24"/>
          <w:szCs w:val="24"/>
        </w:rPr>
        <w:t xml:space="preserve"> a </w:t>
      </w:r>
      <w:r w:rsidR="0079686F">
        <w:rPr>
          <w:rFonts w:ascii="Times New Roman" w:hAnsi="Times New Roman" w:cs="Times New Roman"/>
          <w:sz w:val="24"/>
          <w:szCs w:val="24"/>
        </w:rPr>
        <w:t xml:space="preserve">mis en </w:t>
      </w:r>
      <w:r w:rsidR="007E6906">
        <w:rPr>
          <w:rFonts w:ascii="Times New Roman" w:hAnsi="Times New Roman" w:cs="Times New Roman"/>
          <w:sz w:val="24"/>
          <w:szCs w:val="24"/>
        </w:rPr>
        <w:t xml:space="preserve">évidence un processus </w:t>
      </w:r>
      <w:proofErr w:type="spellStart"/>
      <w:r w:rsidR="007E6906">
        <w:rPr>
          <w:rFonts w:ascii="Times New Roman" w:hAnsi="Times New Roman" w:cs="Times New Roman"/>
          <w:sz w:val="24"/>
          <w:szCs w:val="24"/>
        </w:rPr>
        <w:t>ulcé</w:t>
      </w:r>
      <w:r w:rsidR="0079686F">
        <w:rPr>
          <w:rFonts w:ascii="Times New Roman" w:hAnsi="Times New Roman" w:cs="Times New Roman"/>
          <w:sz w:val="24"/>
          <w:szCs w:val="24"/>
        </w:rPr>
        <w:t>ro</w:t>
      </w:r>
      <w:proofErr w:type="spellEnd"/>
      <w:r w:rsidR="007E6906">
        <w:rPr>
          <w:rFonts w:ascii="Times New Roman" w:hAnsi="Times New Roman" w:cs="Times New Roman"/>
          <w:sz w:val="24"/>
          <w:szCs w:val="24"/>
        </w:rPr>
        <w:t>-</w:t>
      </w:r>
      <w:r w:rsidR="0079686F">
        <w:rPr>
          <w:rFonts w:ascii="Times New Roman" w:hAnsi="Times New Roman" w:cs="Times New Roman"/>
          <w:sz w:val="24"/>
          <w:szCs w:val="24"/>
        </w:rPr>
        <w:t xml:space="preserve">bourgeonnant </w:t>
      </w:r>
      <w:r w:rsidR="007E6906">
        <w:rPr>
          <w:rFonts w:ascii="Times New Roman" w:hAnsi="Times New Roman" w:cs="Times New Roman"/>
          <w:sz w:val="24"/>
          <w:szCs w:val="24"/>
        </w:rPr>
        <w:t xml:space="preserve">œsophagien chez tous nos patients et </w:t>
      </w:r>
      <w:proofErr w:type="spellStart"/>
      <w:r w:rsidR="007E6906">
        <w:rPr>
          <w:rFonts w:ascii="Times New Roman" w:hAnsi="Times New Roman" w:cs="Times New Roman"/>
          <w:sz w:val="24"/>
          <w:szCs w:val="24"/>
        </w:rPr>
        <w:t>sté</w:t>
      </w:r>
      <w:r w:rsidR="0079686F">
        <w:rPr>
          <w:rFonts w:ascii="Times New Roman" w:hAnsi="Times New Roman" w:cs="Times New Roman"/>
          <w:sz w:val="24"/>
          <w:szCs w:val="24"/>
        </w:rPr>
        <w:t>nosant</w:t>
      </w:r>
      <w:proofErr w:type="spellEnd"/>
      <w:r w:rsidR="0079686F">
        <w:rPr>
          <w:rFonts w:ascii="Times New Roman" w:hAnsi="Times New Roman" w:cs="Times New Roman"/>
          <w:sz w:val="24"/>
          <w:szCs w:val="24"/>
        </w:rPr>
        <w:t xml:space="preserve">  dans 4 </w:t>
      </w:r>
      <w:r w:rsidR="007E6906">
        <w:rPr>
          <w:rFonts w:ascii="Times New Roman" w:hAnsi="Times New Roman" w:cs="Times New Roman"/>
          <w:sz w:val="24"/>
          <w:szCs w:val="24"/>
        </w:rPr>
        <w:t>cas. L’é</w:t>
      </w:r>
      <w:r w:rsidR="009A4244">
        <w:rPr>
          <w:rFonts w:ascii="Times New Roman" w:hAnsi="Times New Roman" w:cs="Times New Roman"/>
          <w:sz w:val="24"/>
          <w:szCs w:val="24"/>
        </w:rPr>
        <w:t xml:space="preserve">tude anapathologique a conclu  à </w:t>
      </w:r>
      <w:r w:rsidR="0079686F">
        <w:rPr>
          <w:rFonts w:ascii="Times New Roman" w:hAnsi="Times New Roman" w:cs="Times New Roman"/>
          <w:sz w:val="24"/>
          <w:szCs w:val="24"/>
        </w:rPr>
        <w:t xml:space="preserve">ADK de l’œsophage sur </w:t>
      </w:r>
      <w:r w:rsidR="007E6906">
        <w:rPr>
          <w:rFonts w:ascii="Times New Roman" w:hAnsi="Times New Roman" w:cs="Times New Roman"/>
          <w:sz w:val="24"/>
          <w:szCs w:val="24"/>
        </w:rPr>
        <w:t>EBO. Le</w:t>
      </w:r>
      <w:r w:rsidR="0079686F">
        <w:rPr>
          <w:rFonts w:ascii="Times New Roman" w:hAnsi="Times New Roman" w:cs="Times New Roman"/>
          <w:sz w:val="24"/>
          <w:szCs w:val="24"/>
        </w:rPr>
        <w:t xml:space="preserve"> b</w:t>
      </w:r>
      <w:r w:rsidR="007E6906">
        <w:rPr>
          <w:rFonts w:ascii="Times New Roman" w:hAnsi="Times New Roman" w:cs="Times New Roman"/>
          <w:sz w:val="24"/>
          <w:szCs w:val="24"/>
        </w:rPr>
        <w:t>i</w:t>
      </w:r>
      <w:r w:rsidR="0079686F">
        <w:rPr>
          <w:rFonts w:ascii="Times New Roman" w:hAnsi="Times New Roman" w:cs="Times New Roman"/>
          <w:sz w:val="24"/>
          <w:szCs w:val="24"/>
        </w:rPr>
        <w:t xml:space="preserve">lan d’extension a </w:t>
      </w:r>
      <w:r w:rsidR="007E6906">
        <w:rPr>
          <w:rFonts w:ascii="Times New Roman" w:hAnsi="Times New Roman" w:cs="Times New Roman"/>
          <w:sz w:val="24"/>
          <w:szCs w:val="24"/>
        </w:rPr>
        <w:t>révélé</w:t>
      </w:r>
      <w:r w:rsidR="0079686F">
        <w:rPr>
          <w:rFonts w:ascii="Times New Roman" w:hAnsi="Times New Roman" w:cs="Times New Roman"/>
          <w:sz w:val="24"/>
          <w:szCs w:val="24"/>
        </w:rPr>
        <w:t xml:space="preserve"> la </w:t>
      </w:r>
      <w:r w:rsidR="007E6906">
        <w:rPr>
          <w:rFonts w:ascii="Times New Roman" w:hAnsi="Times New Roman" w:cs="Times New Roman"/>
          <w:sz w:val="24"/>
          <w:szCs w:val="24"/>
        </w:rPr>
        <w:t>présence</w:t>
      </w:r>
      <w:r w:rsidR="0079686F">
        <w:rPr>
          <w:rFonts w:ascii="Times New Roman" w:hAnsi="Times New Roman" w:cs="Times New Roman"/>
          <w:sz w:val="24"/>
          <w:szCs w:val="24"/>
        </w:rPr>
        <w:t xml:space="preserve"> d’un envahissement </w:t>
      </w:r>
      <w:proofErr w:type="spellStart"/>
      <w:r w:rsidR="0079686F">
        <w:rPr>
          <w:rFonts w:ascii="Times New Roman" w:hAnsi="Times New Roman" w:cs="Times New Roman"/>
          <w:sz w:val="24"/>
          <w:szCs w:val="24"/>
        </w:rPr>
        <w:t>loco-</w:t>
      </w:r>
      <w:r w:rsidR="007E6906">
        <w:rPr>
          <w:rFonts w:ascii="Times New Roman" w:hAnsi="Times New Roman" w:cs="Times New Roman"/>
          <w:sz w:val="24"/>
          <w:szCs w:val="24"/>
        </w:rPr>
        <w:t>régional</w:t>
      </w:r>
      <w:proofErr w:type="spellEnd"/>
      <w:r w:rsidR="0079686F">
        <w:rPr>
          <w:rFonts w:ascii="Times New Roman" w:hAnsi="Times New Roman" w:cs="Times New Roman"/>
          <w:sz w:val="24"/>
          <w:szCs w:val="24"/>
        </w:rPr>
        <w:t xml:space="preserve"> dans un cas. </w:t>
      </w:r>
      <w:r w:rsidR="007E6906">
        <w:rPr>
          <w:rFonts w:ascii="Times New Roman" w:hAnsi="Times New Roman" w:cs="Times New Roman"/>
          <w:sz w:val="24"/>
          <w:szCs w:val="24"/>
        </w:rPr>
        <w:t>Métastases</w:t>
      </w:r>
      <w:r w:rsidR="0079686F">
        <w:rPr>
          <w:rFonts w:ascii="Times New Roman" w:hAnsi="Times New Roman" w:cs="Times New Roman"/>
          <w:sz w:val="24"/>
          <w:szCs w:val="24"/>
        </w:rPr>
        <w:t xml:space="preserve"> hépatique dans 4  cas et une carcinose </w:t>
      </w:r>
      <w:r w:rsidR="007E6906">
        <w:rPr>
          <w:rFonts w:ascii="Times New Roman" w:hAnsi="Times New Roman" w:cs="Times New Roman"/>
          <w:sz w:val="24"/>
          <w:szCs w:val="24"/>
        </w:rPr>
        <w:t>péritonéale</w:t>
      </w:r>
      <w:r w:rsidR="0079686F">
        <w:rPr>
          <w:rFonts w:ascii="Times New Roman" w:hAnsi="Times New Roman" w:cs="Times New Roman"/>
          <w:sz w:val="24"/>
          <w:szCs w:val="24"/>
        </w:rPr>
        <w:t xml:space="preserve"> dans  un </w:t>
      </w:r>
      <w:r w:rsidR="007E6906">
        <w:rPr>
          <w:rFonts w:ascii="Times New Roman" w:hAnsi="Times New Roman" w:cs="Times New Roman"/>
          <w:sz w:val="24"/>
          <w:szCs w:val="24"/>
        </w:rPr>
        <w:t>cas. Le</w:t>
      </w:r>
      <w:r w:rsidR="0079686F">
        <w:rPr>
          <w:rFonts w:ascii="Times New Roman" w:hAnsi="Times New Roman" w:cs="Times New Roman"/>
          <w:sz w:val="24"/>
          <w:szCs w:val="24"/>
        </w:rPr>
        <w:t xml:space="preserve"> traitement chirurgical  n’était possible que chez 3 </w:t>
      </w:r>
      <w:r w:rsidR="007E6906">
        <w:rPr>
          <w:rFonts w:ascii="Times New Roman" w:hAnsi="Times New Roman" w:cs="Times New Roman"/>
          <w:sz w:val="24"/>
          <w:szCs w:val="24"/>
        </w:rPr>
        <w:t>patients et symptomatique chez 9 cas.</w:t>
      </w:r>
    </w:p>
    <w:p w:rsidR="007E6906" w:rsidRPr="007E6906" w:rsidRDefault="007E6906" w:rsidP="00B42FA1">
      <w:pPr>
        <w:rPr>
          <w:rFonts w:ascii="Times New Roman" w:hAnsi="Times New Roman" w:cs="Times New Roman"/>
          <w:b/>
          <w:sz w:val="24"/>
          <w:szCs w:val="24"/>
        </w:rPr>
      </w:pPr>
      <w:r w:rsidRPr="007E6906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E6906" w:rsidRPr="00B42FA1" w:rsidRDefault="007E6906" w:rsidP="00B42F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L’intérêt de dépistage  et la surveillance de l’EBO et les malades ayant un reflux gastrooesophagien, prévient la survenue des cancers </w:t>
      </w:r>
      <w:r w:rsidR="003D1B1E">
        <w:rPr>
          <w:rFonts w:ascii="Times New Roman" w:hAnsi="Times New Roman" w:cs="Times New Roman"/>
          <w:sz w:val="24"/>
          <w:szCs w:val="24"/>
        </w:rPr>
        <w:t>œsophagiens.</w:t>
      </w:r>
    </w:p>
    <w:p w:rsidR="00B42FA1" w:rsidRPr="00B42FA1" w:rsidRDefault="00B42FA1" w:rsidP="00B42FA1">
      <w:pPr>
        <w:rPr>
          <w:rFonts w:ascii="Times New Roman" w:hAnsi="Times New Roman" w:cs="Times New Roman"/>
          <w:sz w:val="24"/>
          <w:szCs w:val="24"/>
        </w:rPr>
      </w:pPr>
    </w:p>
    <w:sectPr w:rsidR="00B42FA1" w:rsidRPr="00B42FA1" w:rsidSect="00BB57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B42FA1"/>
    <w:rsid w:val="003D1B1E"/>
    <w:rsid w:val="0050024B"/>
    <w:rsid w:val="0079686F"/>
    <w:rsid w:val="007E6906"/>
    <w:rsid w:val="008739B0"/>
    <w:rsid w:val="009A4244"/>
    <w:rsid w:val="00B42FA1"/>
    <w:rsid w:val="00B4597B"/>
    <w:rsid w:val="00BB5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72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236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2017-01-14T13:32:00Z</dcterms:created>
  <dcterms:modified xsi:type="dcterms:W3CDTF">2017-01-14T15:52:00Z</dcterms:modified>
</cp:coreProperties>
</file>