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11D" w:rsidRDefault="0053711D" w:rsidP="0053711D">
      <w:pPr>
        <w:rPr>
          <w:b/>
          <w:bCs/>
        </w:rPr>
      </w:pPr>
      <w:r w:rsidRPr="0053711D">
        <w:rPr>
          <w:b/>
          <w:bCs/>
        </w:rPr>
        <w:t xml:space="preserve">Accidents vasculaires cérébraux au cours des maladies inflammatoires chroniques de l’intestin </w:t>
      </w:r>
    </w:p>
    <w:p w:rsidR="00FC28C3" w:rsidRPr="00FC28C3" w:rsidRDefault="00FC28C3" w:rsidP="0053711D">
      <w:pPr>
        <w:rPr>
          <w:lang w:val="en-US"/>
        </w:rPr>
      </w:pPr>
      <w:r>
        <w:rPr>
          <w:lang w:val="en-US"/>
        </w:rPr>
        <w:t xml:space="preserve">F </w:t>
      </w:r>
      <w:proofErr w:type="spellStart"/>
      <w:r>
        <w:rPr>
          <w:lang w:val="en-US"/>
        </w:rPr>
        <w:t>Belabbes,</w:t>
      </w:r>
      <w:r w:rsidRPr="00FC28C3">
        <w:rPr>
          <w:lang w:val="en-US"/>
        </w:rPr>
        <w:t>F</w:t>
      </w:r>
      <w:proofErr w:type="spellEnd"/>
      <w:r w:rsidRPr="00FC28C3">
        <w:rPr>
          <w:lang w:val="en-US"/>
        </w:rPr>
        <w:t xml:space="preserve"> </w:t>
      </w:r>
      <w:proofErr w:type="spellStart"/>
      <w:r w:rsidRPr="00FC28C3">
        <w:rPr>
          <w:lang w:val="en-US"/>
        </w:rPr>
        <w:t>Haddad,M</w:t>
      </w:r>
      <w:proofErr w:type="spellEnd"/>
      <w:r w:rsidRPr="00FC28C3">
        <w:rPr>
          <w:lang w:val="en-US"/>
        </w:rPr>
        <w:t xml:space="preserve"> </w:t>
      </w:r>
      <w:proofErr w:type="spellStart"/>
      <w:r w:rsidRPr="00FC28C3">
        <w:rPr>
          <w:lang w:val="en-US"/>
        </w:rPr>
        <w:t>Tahiri,W</w:t>
      </w:r>
      <w:proofErr w:type="spellEnd"/>
      <w:r w:rsidRPr="00FC28C3">
        <w:rPr>
          <w:lang w:val="en-US"/>
        </w:rPr>
        <w:t xml:space="preserve"> </w:t>
      </w:r>
      <w:proofErr w:type="spellStart"/>
      <w:r w:rsidRPr="00FC28C3">
        <w:rPr>
          <w:lang w:val="en-US"/>
        </w:rPr>
        <w:t>Hliwa,A</w:t>
      </w:r>
      <w:proofErr w:type="spellEnd"/>
      <w:r w:rsidRPr="00FC28C3">
        <w:rPr>
          <w:lang w:val="en-US"/>
        </w:rPr>
        <w:t xml:space="preserve"> </w:t>
      </w:r>
      <w:proofErr w:type="spellStart"/>
      <w:r w:rsidRPr="00FC28C3">
        <w:rPr>
          <w:lang w:val="en-US"/>
        </w:rPr>
        <w:t>Bellabah,W</w:t>
      </w:r>
      <w:proofErr w:type="spellEnd"/>
      <w:r w:rsidRPr="00FC28C3">
        <w:rPr>
          <w:lang w:val="en-US"/>
        </w:rPr>
        <w:t xml:space="preserve"> </w:t>
      </w:r>
      <w:proofErr w:type="spellStart"/>
      <w:r w:rsidRPr="00FC28C3">
        <w:rPr>
          <w:lang w:val="en-US"/>
        </w:rPr>
        <w:t>Badre</w:t>
      </w:r>
      <w:proofErr w:type="spellEnd"/>
      <w:r>
        <w:rPr>
          <w:lang w:val="en-US"/>
        </w:rPr>
        <w:t xml:space="preserve"> .</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 xml:space="preserve">Les manifestations </w:t>
      </w:r>
      <w:proofErr w:type="spellStart"/>
      <w:r w:rsidRPr="00251DF9">
        <w:rPr>
          <w:rFonts w:ascii="Times New Roman" w:hAnsi="Times New Roman" w:cs="Times New Roman"/>
        </w:rPr>
        <w:t>neurovasculaires</w:t>
      </w:r>
      <w:proofErr w:type="spellEnd"/>
      <w:r w:rsidRPr="00251DF9">
        <w:rPr>
          <w:rFonts w:ascii="Times New Roman" w:hAnsi="Times New Roman" w:cs="Times New Roman"/>
        </w:rPr>
        <w:t xml:space="preserve"> font partie des manifestations extradigestives rares des maladies inflammatoires chroniques de l’intestin (MICI). L’accident vasculaire </w:t>
      </w:r>
      <w:proofErr w:type="gramStart"/>
      <w:r w:rsidRPr="00251DF9">
        <w:rPr>
          <w:rFonts w:ascii="Times New Roman" w:hAnsi="Times New Roman" w:cs="Times New Roman"/>
        </w:rPr>
        <w:t>cérébrale</w:t>
      </w:r>
      <w:proofErr w:type="gramEnd"/>
      <w:r w:rsidRPr="00251DF9">
        <w:rPr>
          <w:rFonts w:ascii="Times New Roman" w:hAnsi="Times New Roman" w:cs="Times New Roman"/>
        </w:rPr>
        <w:t xml:space="preserve"> (AVC) constitue une manifestation qui pose essentiellement un problème thérapeutique et pronostique.</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Le but de notre travail est de mettre le point sur cette manifestation grave, à travers trois cas d’AVC observés chez des patients ayant une MICI.</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Matériel et méthodes :</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Notre étude concerne 3 malades dont le diagnostic de MICI a été retenu sur un ensemble d’arguments cliniques, morphologiques, endoscopiques, histologiques et évolutifs et le diagnostic d’AVC a été retenu sur la clinique et l’imagerie.</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Résultats :</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 xml:space="preserve">Il s’agissait de trois patients, deux femmes et un homme, âgés de 33, 38 et 41 ans, ayant une rectocolite hémorragique (RCH) distale sous </w:t>
      </w:r>
      <w:proofErr w:type="spellStart"/>
      <w:r w:rsidRPr="00251DF9">
        <w:rPr>
          <w:rFonts w:ascii="Times New Roman" w:hAnsi="Times New Roman" w:cs="Times New Roman"/>
        </w:rPr>
        <w:t>Mésalazine</w:t>
      </w:r>
      <w:proofErr w:type="spellEnd"/>
      <w:r w:rsidRPr="00251DF9">
        <w:rPr>
          <w:rFonts w:ascii="Times New Roman" w:hAnsi="Times New Roman" w:cs="Times New Roman"/>
        </w:rPr>
        <w:t xml:space="preserve">, une maladie de </w:t>
      </w:r>
      <w:proofErr w:type="spellStart"/>
      <w:r w:rsidRPr="00251DF9">
        <w:rPr>
          <w:rFonts w:ascii="Times New Roman" w:hAnsi="Times New Roman" w:cs="Times New Roman"/>
        </w:rPr>
        <w:t>crohn</w:t>
      </w:r>
      <w:proofErr w:type="spellEnd"/>
      <w:r w:rsidRPr="00251DF9">
        <w:rPr>
          <w:rFonts w:ascii="Times New Roman" w:hAnsi="Times New Roman" w:cs="Times New Roman"/>
        </w:rPr>
        <w:t xml:space="preserve"> (MC) iléocæcale sous </w:t>
      </w:r>
      <w:proofErr w:type="spellStart"/>
      <w:r w:rsidRPr="00251DF9">
        <w:rPr>
          <w:rFonts w:ascii="Times New Roman" w:hAnsi="Times New Roman" w:cs="Times New Roman"/>
        </w:rPr>
        <w:t>Azathoiprine</w:t>
      </w:r>
      <w:proofErr w:type="spellEnd"/>
      <w:r w:rsidRPr="00251DF9">
        <w:rPr>
          <w:rFonts w:ascii="Times New Roman" w:hAnsi="Times New Roman" w:cs="Times New Roman"/>
        </w:rPr>
        <w:t xml:space="preserve">, et une RCH gauche sous </w:t>
      </w:r>
      <w:proofErr w:type="spellStart"/>
      <w:r w:rsidRPr="00251DF9">
        <w:rPr>
          <w:rFonts w:ascii="Times New Roman" w:hAnsi="Times New Roman" w:cs="Times New Roman"/>
        </w:rPr>
        <w:t>Mésalazine</w:t>
      </w:r>
      <w:proofErr w:type="spellEnd"/>
      <w:r w:rsidRPr="00251DF9">
        <w:rPr>
          <w:rFonts w:ascii="Times New Roman" w:hAnsi="Times New Roman" w:cs="Times New Roman"/>
        </w:rPr>
        <w:t xml:space="preserve">. Les trois patients étaient en rémission et ils ont </w:t>
      </w:r>
      <w:proofErr w:type="gramStart"/>
      <w:r w:rsidRPr="00251DF9">
        <w:rPr>
          <w:rFonts w:ascii="Times New Roman" w:hAnsi="Times New Roman" w:cs="Times New Roman"/>
        </w:rPr>
        <w:t>présenté</w:t>
      </w:r>
      <w:proofErr w:type="gramEnd"/>
      <w:r w:rsidRPr="00251DF9">
        <w:rPr>
          <w:rFonts w:ascii="Times New Roman" w:hAnsi="Times New Roman" w:cs="Times New Roman"/>
        </w:rPr>
        <w:t xml:space="preserve"> brutalement un tableau de céphalées et de déficit moteur (hémiparésie droite ou hémiplégie droite). L’imagerie réalisée en urgence (TDM et/ou IRM cérébrale) a objectivé dans les 3 cas un AVC ischémique : </w:t>
      </w:r>
      <w:proofErr w:type="spellStart"/>
      <w:r w:rsidRPr="00251DF9">
        <w:rPr>
          <w:rFonts w:ascii="Times New Roman" w:hAnsi="Times New Roman" w:cs="Times New Roman"/>
        </w:rPr>
        <w:t>capsulo</w:t>
      </w:r>
      <w:proofErr w:type="spellEnd"/>
      <w:r w:rsidRPr="00251DF9">
        <w:rPr>
          <w:rFonts w:ascii="Times New Roman" w:hAnsi="Times New Roman" w:cs="Times New Roman"/>
        </w:rPr>
        <w:t xml:space="preserve">-thalamique gauche, de l’artère cérébrale antérieur gauche, et temporal  gauche. </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 xml:space="preserve">L’hémogramme, le bilan d’hémostase, le bilan de </w:t>
      </w:r>
      <w:proofErr w:type="spellStart"/>
      <w:r w:rsidRPr="00251DF9">
        <w:rPr>
          <w:rFonts w:ascii="Times New Roman" w:hAnsi="Times New Roman" w:cs="Times New Roman"/>
        </w:rPr>
        <w:t>thrombophilie</w:t>
      </w:r>
      <w:proofErr w:type="spellEnd"/>
      <w:r w:rsidRPr="00251DF9">
        <w:rPr>
          <w:rFonts w:ascii="Times New Roman" w:hAnsi="Times New Roman" w:cs="Times New Roman"/>
        </w:rPr>
        <w:t xml:space="preserve">, et le bilan cardiologique (ECG, échographie cardiaque, échographie des troncs supra-aortiques) étaient sans particularités. </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 xml:space="preserve">Les trois patients ont été mis sous </w:t>
      </w:r>
      <w:proofErr w:type="spellStart"/>
      <w:r w:rsidRPr="00251DF9">
        <w:rPr>
          <w:rFonts w:ascii="Times New Roman" w:hAnsi="Times New Roman" w:cs="Times New Roman"/>
        </w:rPr>
        <w:t>sous</w:t>
      </w:r>
      <w:proofErr w:type="spellEnd"/>
      <w:r w:rsidRPr="00251DF9">
        <w:rPr>
          <w:rFonts w:ascii="Times New Roman" w:hAnsi="Times New Roman" w:cs="Times New Roman"/>
        </w:rPr>
        <w:t xml:space="preserve"> Acide-acétylsalicylique et rééducation physique avec bonne évolution.</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Conclusion :</w:t>
      </w:r>
    </w:p>
    <w:p w:rsidR="0053711D" w:rsidRPr="00251DF9" w:rsidRDefault="0053711D" w:rsidP="00251DF9">
      <w:pPr>
        <w:spacing w:line="240" w:lineRule="auto"/>
        <w:rPr>
          <w:rFonts w:ascii="Times New Roman" w:hAnsi="Times New Roman" w:cs="Times New Roman"/>
        </w:rPr>
      </w:pPr>
      <w:r w:rsidRPr="00251DF9">
        <w:rPr>
          <w:rFonts w:ascii="Times New Roman" w:hAnsi="Times New Roman" w:cs="Times New Roman"/>
        </w:rPr>
        <w:t>Les AVC sont des manifestations rares et souvent méconnues des MICI, pouvant engager le pronostic vital, la survenue de céphalée au cours des MICI doit faire évoquer le diagnostic d’AVC, et faire indiquer une imagerie cérébrale en urgence .</w:t>
      </w:r>
    </w:p>
    <w:p w:rsidR="00990F93" w:rsidRPr="00251DF9" w:rsidRDefault="00FC28C3" w:rsidP="00251DF9">
      <w:pPr>
        <w:spacing w:line="240" w:lineRule="auto"/>
        <w:rPr>
          <w:rFonts w:ascii="Times New Roman" w:hAnsi="Times New Roman" w:cs="Times New Roman"/>
        </w:rPr>
      </w:pPr>
    </w:p>
    <w:sectPr w:rsidR="00990F93" w:rsidRPr="00251DF9" w:rsidSect="002724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53711D"/>
    <w:rsid w:val="00251DF9"/>
    <w:rsid w:val="00272486"/>
    <w:rsid w:val="0050024B"/>
    <w:rsid w:val="0053711D"/>
    <w:rsid w:val="00A16E62"/>
    <w:rsid w:val="00B4597B"/>
    <w:rsid w:val="00FC28C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48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69875185">
      <w:bodyDiv w:val="1"/>
      <w:marLeft w:val="0"/>
      <w:marRight w:val="0"/>
      <w:marTop w:val="0"/>
      <w:marBottom w:val="0"/>
      <w:divBdr>
        <w:top w:val="none" w:sz="0" w:space="0" w:color="auto"/>
        <w:left w:val="none" w:sz="0" w:space="0" w:color="auto"/>
        <w:bottom w:val="none" w:sz="0" w:space="0" w:color="auto"/>
        <w:right w:val="none" w:sz="0" w:space="0" w:color="auto"/>
      </w:divBdr>
    </w:div>
    <w:div w:id="19074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307</Words>
  <Characters>1694</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2017-01-23T16:27:00Z</dcterms:created>
  <dcterms:modified xsi:type="dcterms:W3CDTF">2017-01-23T18:59:00Z</dcterms:modified>
</cp:coreProperties>
</file>