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2C9" w:rsidRDefault="006852C9" w:rsidP="006852C9">
      <w:pPr>
        <w:bidi w:val="0"/>
        <w:spacing w:after="0" w:line="360" w:lineRule="auto"/>
        <w:jc w:val="both"/>
        <w:rPr>
          <w:rFonts w:ascii="Times New Roman" w:hAnsi="Times New Roman" w:cs="Times New Roman"/>
          <w:b/>
          <w:bCs/>
          <w:u w:val="single"/>
        </w:rPr>
      </w:pPr>
      <w:r w:rsidRPr="002A6912">
        <w:rPr>
          <w:rFonts w:ascii="Times New Roman" w:hAnsi="Times New Roman" w:cs="Times New Roman"/>
          <w:b/>
          <w:bCs/>
        </w:rPr>
        <w:t xml:space="preserve">Association between subclinical hypothyroidism and the risk of coronary heart disease in </w:t>
      </w:r>
      <w:r w:rsidRPr="002A6912">
        <w:rPr>
          <w:rFonts w:ascii="Times New Roman" w:hAnsi="Times New Roman" w:cs="Times New Roman"/>
          <w:b/>
          <w:bCs/>
          <w:u w:val="single"/>
        </w:rPr>
        <w:t>Egyptian patients</w:t>
      </w:r>
      <w:r>
        <w:rPr>
          <w:rFonts w:ascii="Times New Roman" w:hAnsi="Times New Roman" w:cs="Times New Roman"/>
          <w:b/>
          <w:bCs/>
          <w:u w:val="single"/>
        </w:rPr>
        <w:t>:  An angiographic study</w:t>
      </w:r>
    </w:p>
    <w:p w:rsidR="00FA4314" w:rsidRDefault="00FA4314" w:rsidP="00FA4314">
      <w:pPr>
        <w:bidi w:val="0"/>
        <w:spacing w:after="0" w:line="360" w:lineRule="auto"/>
        <w:jc w:val="both"/>
        <w:rPr>
          <w:rFonts w:ascii="Times New Roman" w:hAnsi="Times New Roman" w:cs="Times New Roman"/>
          <w:b/>
          <w:bCs/>
        </w:rPr>
      </w:pPr>
      <w:r w:rsidRPr="002A6912">
        <w:rPr>
          <w:rFonts w:ascii="Times New Roman" w:hAnsi="Times New Roman" w:cs="Times New Roman"/>
          <w:b/>
          <w:bCs/>
        </w:rPr>
        <w:t xml:space="preserve">Dr. Hassan </w:t>
      </w:r>
      <w:proofErr w:type="spellStart"/>
      <w:proofErr w:type="gramStart"/>
      <w:r w:rsidRPr="002A6912">
        <w:rPr>
          <w:rFonts w:ascii="Times New Roman" w:hAnsi="Times New Roman" w:cs="Times New Roman"/>
          <w:b/>
          <w:bCs/>
        </w:rPr>
        <w:t>Effat</w:t>
      </w:r>
      <w:proofErr w:type="spellEnd"/>
      <w:r w:rsidRPr="002A6912">
        <w:rPr>
          <w:rFonts w:ascii="Times New Roman" w:hAnsi="Times New Roman" w:cs="Times New Roman"/>
          <w:b/>
          <w:bCs/>
        </w:rPr>
        <w:t xml:space="preserve"> </w:t>
      </w:r>
      <w:r>
        <w:rPr>
          <w:rFonts w:ascii="Times New Roman" w:hAnsi="Times New Roman" w:cs="Times New Roman"/>
          <w:b/>
          <w:bCs/>
        </w:rPr>
        <w:t>,</w:t>
      </w:r>
      <w:proofErr w:type="gramEnd"/>
      <w:r>
        <w:rPr>
          <w:rFonts w:ascii="Times New Roman" w:hAnsi="Times New Roman" w:cs="Times New Roman"/>
          <w:b/>
          <w:bCs/>
        </w:rPr>
        <w:t xml:space="preserve"> </w:t>
      </w:r>
      <w:r w:rsidRPr="002A6912">
        <w:rPr>
          <w:rFonts w:ascii="Times New Roman" w:hAnsi="Times New Roman" w:cs="Times New Roman"/>
          <w:b/>
          <w:bCs/>
        </w:rPr>
        <w:t>Dr. Nora Ismail</w:t>
      </w:r>
      <w:r>
        <w:rPr>
          <w:rFonts w:ascii="Times New Roman" w:hAnsi="Times New Roman" w:cs="Times New Roman"/>
          <w:b/>
          <w:bCs/>
        </w:rPr>
        <w:t xml:space="preserve"> </w:t>
      </w:r>
      <w:proofErr w:type="spellStart"/>
      <w:r>
        <w:rPr>
          <w:rFonts w:ascii="Times New Roman" w:hAnsi="Times New Roman" w:cs="Times New Roman"/>
          <w:b/>
          <w:bCs/>
        </w:rPr>
        <w:t>Abbas</w:t>
      </w:r>
      <w:proofErr w:type="spellEnd"/>
    </w:p>
    <w:p w:rsidR="00FA4314" w:rsidRDefault="00FA4314" w:rsidP="00FA4314">
      <w:pPr>
        <w:bidi w:val="0"/>
        <w:spacing w:after="0" w:line="360" w:lineRule="auto"/>
        <w:jc w:val="both"/>
        <w:rPr>
          <w:rFonts w:ascii="Times New Roman" w:hAnsi="Times New Roman" w:cs="Times New Roman"/>
          <w:b/>
          <w:bCs/>
          <w:u w:val="single"/>
        </w:rPr>
      </w:pPr>
      <w:r>
        <w:rPr>
          <w:rFonts w:ascii="Times New Roman" w:hAnsi="Times New Roman" w:cs="Times New Roman"/>
          <w:b/>
          <w:bCs/>
        </w:rPr>
        <w:t>-MD Critical Care D</w:t>
      </w:r>
      <w:r w:rsidRPr="002C1485">
        <w:rPr>
          <w:rFonts w:ascii="Times New Roman" w:hAnsi="Times New Roman" w:cs="Times New Roman"/>
          <w:b/>
          <w:bCs/>
        </w:rPr>
        <w:t>epartment, Faculty</w:t>
      </w:r>
      <w:r>
        <w:rPr>
          <w:rFonts w:ascii="Times New Roman" w:hAnsi="Times New Roman" w:cs="Times New Roman"/>
          <w:b/>
          <w:bCs/>
        </w:rPr>
        <w:t xml:space="preserve"> of Medicine, Cairo University</w:t>
      </w: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Abstract</w:t>
      </w: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Background</w:t>
      </w:r>
    </w:p>
    <w:p w:rsidR="00FA4314" w:rsidRPr="002A6912" w:rsidRDefault="00FA4314" w:rsidP="00FA4314">
      <w:pPr>
        <w:bidi w:val="0"/>
        <w:spacing w:after="0" w:line="360" w:lineRule="auto"/>
        <w:rPr>
          <w:rFonts w:ascii="Times New Roman" w:hAnsi="Times New Roman" w:cs="Times New Roman"/>
          <w:b/>
          <w:bCs/>
        </w:rPr>
      </w:pP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Cardiovascular diseases (CVD) are the most common cause of mortality, primarily affecting older adults. Although established risk factors explain most cardiac risks, however alternative biochemical markers may have a</w:t>
      </w:r>
      <w:r>
        <w:rPr>
          <w:rFonts w:ascii="Times New Roman" w:hAnsi="Times New Roman" w:cs="Times New Roman"/>
          <w:b/>
          <w:bCs/>
        </w:rPr>
        <w:t>n assisting</w:t>
      </w:r>
      <w:r w:rsidRPr="002A6912">
        <w:rPr>
          <w:rFonts w:ascii="Times New Roman" w:hAnsi="Times New Roman" w:cs="Times New Roman"/>
          <w:b/>
          <w:bCs/>
        </w:rPr>
        <w:t xml:space="preserve"> role in identifying those at risk for a clinical cardiovascular event; amongst abnormal thyroid gland profile.</w:t>
      </w:r>
    </w:p>
    <w:p w:rsidR="00FA4314" w:rsidRPr="002A6912" w:rsidRDefault="00FA4314" w:rsidP="00FA4314">
      <w:pPr>
        <w:bidi w:val="0"/>
        <w:spacing w:after="0" w:line="360" w:lineRule="auto"/>
        <w:rPr>
          <w:rFonts w:ascii="Times New Roman" w:hAnsi="Times New Roman" w:cs="Times New Roman"/>
          <w:b/>
          <w:bCs/>
        </w:rPr>
      </w:pP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OBECTIVE: W</w:t>
      </w:r>
      <w:r>
        <w:rPr>
          <w:rFonts w:ascii="Times New Roman" w:hAnsi="Times New Roman" w:cs="Times New Roman"/>
          <w:b/>
          <w:bCs/>
        </w:rPr>
        <w:t xml:space="preserve">e aimed to detect the </w:t>
      </w:r>
      <w:r w:rsidRPr="002A6912">
        <w:rPr>
          <w:rFonts w:ascii="Times New Roman" w:hAnsi="Times New Roman" w:cs="Times New Roman"/>
          <w:b/>
          <w:bCs/>
        </w:rPr>
        <w:t>of Thyroid profile abnormalities</w:t>
      </w:r>
      <w:r>
        <w:rPr>
          <w:rFonts w:ascii="Times New Roman" w:hAnsi="Times New Roman" w:cs="Times New Roman"/>
          <w:b/>
          <w:bCs/>
        </w:rPr>
        <w:t xml:space="preserve"> particularly subclinical </w:t>
      </w:r>
      <w:proofErr w:type="spellStart"/>
      <w:r>
        <w:rPr>
          <w:rFonts w:ascii="Times New Roman" w:hAnsi="Times New Roman" w:cs="Times New Roman"/>
          <w:b/>
          <w:bCs/>
        </w:rPr>
        <w:t>hypothroidism</w:t>
      </w:r>
      <w:proofErr w:type="spellEnd"/>
      <w:r w:rsidRPr="002A6912">
        <w:rPr>
          <w:rFonts w:ascii="Times New Roman" w:hAnsi="Times New Roman" w:cs="Times New Roman"/>
          <w:b/>
          <w:bCs/>
        </w:rPr>
        <w:t xml:space="preserve"> </w:t>
      </w:r>
      <w:r>
        <w:rPr>
          <w:rFonts w:ascii="Times New Roman" w:hAnsi="Times New Roman" w:cs="Times New Roman"/>
          <w:b/>
          <w:bCs/>
        </w:rPr>
        <w:t xml:space="preserve">(SCH) </w:t>
      </w:r>
      <w:r w:rsidRPr="002A6912">
        <w:rPr>
          <w:rFonts w:ascii="Times New Roman" w:hAnsi="Times New Roman" w:cs="Times New Roman"/>
          <w:b/>
          <w:bCs/>
        </w:rPr>
        <w:t>in patients with clinical ischemic heart disease (IHD).</w:t>
      </w: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 xml:space="preserve">Methods: The Study sample consisted of 90 cases, divided into two groups Group I  includes 60 Patients proved to have coronary artery disease by diagnostic </w:t>
      </w:r>
      <w:proofErr w:type="spellStart"/>
      <w:r w:rsidRPr="002A6912">
        <w:rPr>
          <w:rFonts w:ascii="Times New Roman" w:hAnsi="Times New Roman" w:cs="Times New Roman"/>
          <w:b/>
          <w:bCs/>
        </w:rPr>
        <w:t>percutaneous</w:t>
      </w:r>
      <w:proofErr w:type="spellEnd"/>
      <w:r w:rsidRPr="002A6912">
        <w:rPr>
          <w:rFonts w:ascii="Times New Roman" w:hAnsi="Times New Roman" w:cs="Times New Roman"/>
          <w:b/>
          <w:bCs/>
        </w:rPr>
        <w:t xml:space="preserve"> coronary angiography (CA) and Group II includes 30 subjects with negative diagnostic work-up for CHD who were enrolled as control group or (non-CHD group).  Personal and demographic characteristics, personal and family history of ischemic heart disease, lifestyle, current smoking and current pharmacotherapy were obtained. Height and weight were measured. Routine laboratory samples in addition to thyroid hormones profile were withdrawn.</w:t>
      </w: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 xml:space="preserve">Results: 90 subjects divided into two groups; Group I includes 60 Patients proved to have coronary artery disease by diagnostic </w:t>
      </w:r>
      <w:proofErr w:type="spellStart"/>
      <w:r w:rsidRPr="002A6912">
        <w:rPr>
          <w:rFonts w:ascii="Times New Roman" w:hAnsi="Times New Roman" w:cs="Times New Roman"/>
          <w:b/>
          <w:bCs/>
        </w:rPr>
        <w:t>percutaneous</w:t>
      </w:r>
      <w:proofErr w:type="spellEnd"/>
      <w:r w:rsidRPr="002A6912">
        <w:rPr>
          <w:rFonts w:ascii="Times New Roman" w:hAnsi="Times New Roman" w:cs="Times New Roman"/>
          <w:b/>
          <w:bCs/>
        </w:rPr>
        <w:t xml:space="preserve"> angiography and Group II includes 30 subjects with negative diagnostic c. angiography for CHD who were enrolled as control group or (non-CHD group).   Group I had statistically significant higher age (55.18</w:t>
      </w:r>
      <w:r w:rsidRPr="002A6912">
        <w:rPr>
          <w:rFonts w:ascii="Times New Roman" w:hAnsi="Times New Roman" w:cs="Times New Roman"/>
          <w:b/>
          <w:bCs/>
          <w:u w:val="single"/>
        </w:rPr>
        <w:t>+</w:t>
      </w:r>
      <w:r w:rsidRPr="002A6912">
        <w:rPr>
          <w:rFonts w:ascii="Times New Roman" w:hAnsi="Times New Roman" w:cs="Times New Roman"/>
          <w:b/>
          <w:bCs/>
        </w:rPr>
        <w:t>12.303 vs48.73</w:t>
      </w:r>
      <w:r w:rsidRPr="002A6912">
        <w:rPr>
          <w:rFonts w:ascii="Times New Roman" w:hAnsi="Times New Roman" w:cs="Times New Roman"/>
          <w:b/>
          <w:bCs/>
          <w:u w:val="single"/>
        </w:rPr>
        <w:t>+</w:t>
      </w:r>
      <w:r w:rsidRPr="002A6912">
        <w:rPr>
          <w:rFonts w:ascii="Times New Roman" w:hAnsi="Times New Roman" w:cs="Times New Roman"/>
          <w:b/>
          <w:bCs/>
        </w:rPr>
        <w:t>13.014 years p=0.024), blood glucose (207.55</w:t>
      </w:r>
      <w:r w:rsidRPr="002A6912">
        <w:rPr>
          <w:rFonts w:ascii="Times New Roman" w:hAnsi="Times New Roman" w:cs="Times New Roman"/>
          <w:b/>
          <w:bCs/>
          <w:u w:val="single"/>
        </w:rPr>
        <w:t>+</w:t>
      </w:r>
      <w:r w:rsidRPr="002A6912">
        <w:rPr>
          <w:rFonts w:ascii="Times New Roman" w:hAnsi="Times New Roman" w:cs="Times New Roman"/>
          <w:b/>
          <w:bCs/>
        </w:rPr>
        <w:t>74.186mg% p=0.002), blood urea (37.65</w:t>
      </w:r>
      <w:r w:rsidRPr="002A6912">
        <w:rPr>
          <w:rFonts w:ascii="Times New Roman" w:hAnsi="Times New Roman" w:cs="Times New Roman"/>
          <w:b/>
          <w:bCs/>
          <w:u w:val="single"/>
        </w:rPr>
        <w:t>+</w:t>
      </w:r>
      <w:r w:rsidRPr="002A6912">
        <w:rPr>
          <w:rFonts w:ascii="Times New Roman" w:hAnsi="Times New Roman" w:cs="Times New Roman"/>
          <w:b/>
          <w:bCs/>
        </w:rPr>
        <w:t xml:space="preserve">12.658 </w:t>
      </w:r>
      <w:proofErr w:type="spellStart"/>
      <w:r w:rsidRPr="002A6912">
        <w:rPr>
          <w:rFonts w:ascii="Times New Roman" w:hAnsi="Times New Roman" w:cs="Times New Roman"/>
          <w:b/>
          <w:bCs/>
        </w:rPr>
        <w:t>vs</w:t>
      </w:r>
      <w:proofErr w:type="spellEnd"/>
      <w:r w:rsidRPr="002A6912">
        <w:rPr>
          <w:rFonts w:ascii="Times New Roman" w:hAnsi="Times New Roman" w:cs="Times New Roman"/>
          <w:b/>
          <w:bCs/>
        </w:rPr>
        <w:t xml:space="preserve"> 28.97</w:t>
      </w:r>
      <w:r w:rsidRPr="002A6912">
        <w:rPr>
          <w:rFonts w:ascii="Times New Roman" w:hAnsi="Times New Roman" w:cs="Times New Roman"/>
          <w:b/>
          <w:bCs/>
          <w:u w:val="single"/>
        </w:rPr>
        <w:t>+</w:t>
      </w:r>
      <w:r w:rsidRPr="002A6912">
        <w:rPr>
          <w:rFonts w:ascii="Times New Roman" w:hAnsi="Times New Roman" w:cs="Times New Roman"/>
          <w:b/>
          <w:bCs/>
        </w:rPr>
        <w:t>9.152 mg</w:t>
      </w:r>
      <w:r>
        <w:rPr>
          <w:rFonts w:ascii="Times New Roman" w:hAnsi="Times New Roman" w:cs="Times New Roman"/>
          <w:b/>
          <w:bCs/>
        </w:rPr>
        <w:t xml:space="preserve"> </w:t>
      </w:r>
      <w:r w:rsidRPr="002A6912">
        <w:rPr>
          <w:rFonts w:ascii="Times New Roman" w:hAnsi="Times New Roman" w:cs="Times New Roman"/>
          <w:b/>
          <w:bCs/>
        </w:rPr>
        <w:t>%p=0.001) cholesterol (246.67+99.348 VS199.67</w:t>
      </w:r>
      <w:r w:rsidRPr="002A6912">
        <w:rPr>
          <w:rFonts w:ascii="Times New Roman" w:hAnsi="Times New Roman" w:cs="Times New Roman"/>
          <w:b/>
          <w:bCs/>
          <w:u w:val="single"/>
        </w:rPr>
        <w:t>+</w:t>
      </w:r>
      <w:r w:rsidRPr="002A6912">
        <w:rPr>
          <w:rFonts w:ascii="Times New Roman" w:hAnsi="Times New Roman" w:cs="Times New Roman"/>
          <w:b/>
          <w:bCs/>
        </w:rPr>
        <w:t>47.593 mg%</w:t>
      </w:r>
      <w:proofErr w:type="gramStart"/>
      <w:r w:rsidRPr="002A6912">
        <w:rPr>
          <w:rFonts w:ascii="Times New Roman" w:hAnsi="Times New Roman" w:cs="Times New Roman"/>
          <w:b/>
          <w:bCs/>
        </w:rPr>
        <w:t>;p</w:t>
      </w:r>
      <w:proofErr w:type="gramEnd"/>
      <w:r w:rsidRPr="002A6912">
        <w:rPr>
          <w:rFonts w:ascii="Times New Roman" w:hAnsi="Times New Roman" w:cs="Times New Roman"/>
          <w:b/>
          <w:bCs/>
        </w:rPr>
        <w:t>=0.003). T3 levels is significantly lower in group I (2.094</w:t>
      </w:r>
      <w:r w:rsidRPr="002A6912">
        <w:rPr>
          <w:rFonts w:ascii="Times New Roman" w:hAnsi="Times New Roman" w:cs="Times New Roman"/>
          <w:b/>
          <w:bCs/>
          <w:u w:val="single"/>
        </w:rPr>
        <w:t>+</w:t>
      </w:r>
      <w:r w:rsidRPr="002A6912">
        <w:rPr>
          <w:rFonts w:ascii="Times New Roman" w:hAnsi="Times New Roman" w:cs="Times New Roman"/>
          <w:b/>
          <w:bCs/>
        </w:rPr>
        <w:t>0.971 VS 2.73+0.7221pg/ml; p=0.002).</w:t>
      </w:r>
    </w:p>
    <w:p w:rsidR="00FA4314" w:rsidRPr="002A6912" w:rsidRDefault="00FA4314" w:rsidP="00FA4314">
      <w:pPr>
        <w:bidi w:val="0"/>
        <w:spacing w:after="0" w:line="360" w:lineRule="auto"/>
        <w:rPr>
          <w:rFonts w:ascii="Times New Roman" w:hAnsi="Times New Roman" w:cs="Times New Roman"/>
          <w:b/>
          <w:bCs/>
        </w:rPr>
      </w:pPr>
      <w:r w:rsidRPr="002A6912">
        <w:rPr>
          <w:rFonts w:ascii="Times New Roman" w:hAnsi="Times New Roman" w:cs="Times New Roman"/>
          <w:b/>
          <w:bCs/>
        </w:rPr>
        <w:t>Conclusion</w:t>
      </w:r>
      <w:r w:rsidRPr="002A6912">
        <w:rPr>
          <w:rFonts w:ascii="Times New Roman" w:hAnsi="Times New Roman" w:cs="Times New Roman"/>
        </w:rPr>
        <w:t xml:space="preserve">: </w:t>
      </w:r>
      <w:r w:rsidRPr="002A6912">
        <w:rPr>
          <w:rFonts w:ascii="Times New Roman" w:hAnsi="Times New Roman" w:cs="Times New Roman"/>
          <w:b/>
          <w:bCs/>
        </w:rPr>
        <w:t>low</w:t>
      </w:r>
      <w:r>
        <w:rPr>
          <w:rFonts w:ascii="Times New Roman" w:hAnsi="Times New Roman" w:cs="Times New Roman"/>
          <w:b/>
          <w:bCs/>
        </w:rPr>
        <w:t xml:space="preserve"> </w:t>
      </w:r>
      <w:r w:rsidRPr="002A6912">
        <w:rPr>
          <w:rFonts w:ascii="Times New Roman" w:hAnsi="Times New Roman" w:cs="Times New Roman"/>
          <w:b/>
          <w:bCs/>
        </w:rPr>
        <w:t>T3 syndrome and not subclinical hypothyroidism is the predominant thyroid dysfunction in CHD patients who perform a Coronary angiography.</w:t>
      </w:r>
    </w:p>
    <w:p w:rsidR="00777209" w:rsidRPr="00FA4314" w:rsidRDefault="00777209" w:rsidP="00373FB1">
      <w:pPr>
        <w:jc w:val="right"/>
        <w:rPr>
          <w:rFonts w:hint="cs"/>
          <w:rtl/>
          <w:lang w:bidi="ar-EG"/>
        </w:rPr>
      </w:pPr>
    </w:p>
    <w:sectPr w:rsidR="00777209" w:rsidRPr="00FA4314" w:rsidSect="00DC2783">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73FB1"/>
    <w:rsid w:val="00373FB1"/>
    <w:rsid w:val="006852C9"/>
    <w:rsid w:val="00777209"/>
    <w:rsid w:val="00DC2783"/>
    <w:rsid w:val="00FA431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2C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lopna</dc:creator>
  <cp:lastModifiedBy>lopna</cp:lastModifiedBy>
  <cp:revision>3</cp:revision>
  <dcterms:created xsi:type="dcterms:W3CDTF">2018-12-18T17:54:00Z</dcterms:created>
  <dcterms:modified xsi:type="dcterms:W3CDTF">2018-12-18T18:01:00Z</dcterms:modified>
</cp:coreProperties>
</file>