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E22" w:rsidRPr="00BB1F4C" w:rsidRDefault="003B1E22" w:rsidP="003B1E22">
      <w:pPr>
        <w:spacing w:line="360" w:lineRule="auto"/>
        <w:jc w:val="both"/>
        <w:rPr>
          <w:rFonts w:ascii="Cambria" w:hAnsi="Cambria" w:cs="Times New Roman"/>
          <w:b/>
          <w:sz w:val="20"/>
          <w:szCs w:val="20"/>
        </w:rPr>
      </w:pPr>
      <w:r w:rsidRPr="00BB1F4C">
        <w:rPr>
          <w:rFonts w:ascii="Cambria" w:hAnsi="Cambria" w:cs="Times New Roman"/>
          <w:b/>
          <w:sz w:val="20"/>
          <w:szCs w:val="20"/>
        </w:rPr>
        <w:t xml:space="preserve">Neutrophil / Lymphocyte ratio (NLR) – </w:t>
      </w:r>
      <w:proofErr w:type="gramStart"/>
      <w:r w:rsidRPr="00BB1F4C">
        <w:rPr>
          <w:rFonts w:ascii="Cambria" w:hAnsi="Cambria" w:cs="Times New Roman"/>
          <w:b/>
          <w:sz w:val="20"/>
          <w:szCs w:val="20"/>
        </w:rPr>
        <w:t>Trombocyte  /</w:t>
      </w:r>
      <w:proofErr w:type="gramEnd"/>
      <w:r w:rsidRPr="00BB1F4C">
        <w:rPr>
          <w:rFonts w:ascii="Cambria" w:hAnsi="Cambria" w:cs="Times New Roman"/>
          <w:b/>
          <w:sz w:val="20"/>
          <w:szCs w:val="20"/>
        </w:rPr>
        <w:t xml:space="preserve"> Lymphocyte ratio (TLR): A predictor of axillary lymph node metastasis in breast cancer patients?</w:t>
      </w:r>
    </w:p>
    <w:p w:rsidR="003B1E22" w:rsidRPr="00BB1F4C" w:rsidRDefault="003B1E22" w:rsidP="003B1E22">
      <w:pPr>
        <w:spacing w:line="360" w:lineRule="auto"/>
        <w:jc w:val="both"/>
        <w:rPr>
          <w:rFonts w:ascii="Cambria" w:hAnsi="Cambria" w:cs="Times New Roman"/>
          <w:b/>
          <w:sz w:val="20"/>
          <w:szCs w:val="20"/>
        </w:rPr>
      </w:pPr>
      <w:r w:rsidRPr="00BB1F4C">
        <w:rPr>
          <w:rFonts w:ascii="Cambria" w:hAnsi="Cambria" w:cs="Times New Roman"/>
          <w:b/>
          <w:sz w:val="20"/>
          <w:szCs w:val="20"/>
        </w:rPr>
        <w:t>Abstract</w:t>
      </w:r>
    </w:p>
    <w:p w:rsidR="003B1E22" w:rsidRDefault="003B1E22" w:rsidP="003B1E22">
      <w:pPr>
        <w:spacing w:line="360" w:lineRule="auto"/>
        <w:jc w:val="both"/>
        <w:rPr>
          <w:rFonts w:ascii="Cambria" w:hAnsi="Cambria" w:cs="Times New Roman"/>
          <w:color w:val="1C1D1E"/>
          <w:sz w:val="20"/>
          <w:szCs w:val="20"/>
          <w:shd w:val="clear" w:color="auto" w:fill="FFFFFF"/>
        </w:rPr>
      </w:pPr>
      <w:r w:rsidRPr="00BB1F4C">
        <w:rPr>
          <w:rFonts w:ascii="Cambria" w:hAnsi="Cambria" w:cs="Times New Roman"/>
          <w:b/>
          <w:bCs/>
          <w:color w:val="1C1D1E"/>
          <w:sz w:val="20"/>
          <w:szCs w:val="20"/>
          <w:shd w:val="clear" w:color="auto" w:fill="FFFFFF"/>
        </w:rPr>
        <w:t>Background:</w:t>
      </w:r>
      <w:r w:rsidRPr="00BB1F4C">
        <w:rPr>
          <w:rStyle w:val="apple-converted-space"/>
          <w:rFonts w:ascii="Cambria" w:hAnsi="Cambria" w:cs="Times New Roman"/>
          <w:color w:val="1C1D1E"/>
          <w:sz w:val="20"/>
          <w:szCs w:val="20"/>
          <w:shd w:val="clear" w:color="auto" w:fill="FFFFFF"/>
        </w:rPr>
        <w:t> </w:t>
      </w:r>
      <w:r w:rsidRPr="00BB1F4C">
        <w:rPr>
          <w:rFonts w:ascii="Cambria" w:hAnsi="Cambria" w:cs="Times New Roman"/>
          <w:sz w:val="20"/>
          <w:szCs w:val="20"/>
        </w:rPr>
        <w:t xml:space="preserve"> This study evaluated the relationship between preoperative neutrophil </w:t>
      </w:r>
      <w:proofErr w:type="gramStart"/>
      <w:r w:rsidRPr="00BB1F4C">
        <w:rPr>
          <w:rFonts w:ascii="Cambria" w:hAnsi="Cambria" w:cs="Times New Roman"/>
          <w:sz w:val="20"/>
          <w:szCs w:val="20"/>
        </w:rPr>
        <w:t>/</w:t>
      </w:r>
      <w:proofErr w:type="gramEnd"/>
      <w:r w:rsidRPr="00BB1F4C">
        <w:rPr>
          <w:rFonts w:ascii="Cambria" w:hAnsi="Cambria" w:cs="Times New Roman"/>
          <w:sz w:val="20"/>
          <w:szCs w:val="20"/>
        </w:rPr>
        <w:t xml:space="preserve"> lymphocyte ratio - platelet / lymphocyte ratio, clinicopathological, radiological factors, and axillary lymph node metastasis in stage I-III breast cancer</w:t>
      </w:r>
      <w:r w:rsidRPr="00BB1F4C">
        <w:rPr>
          <w:rFonts w:ascii="Cambria" w:hAnsi="Cambria" w:cs="Times New Roman"/>
          <w:color w:val="1C1D1E"/>
          <w:sz w:val="20"/>
          <w:szCs w:val="20"/>
          <w:shd w:val="clear" w:color="auto" w:fill="FFFFFF"/>
        </w:rPr>
        <w:t xml:space="preserve"> to determine if axillary surgery can be safely omitted in selected patients.</w:t>
      </w:r>
    </w:p>
    <w:p w:rsidR="003B1E22" w:rsidRDefault="003B1E22" w:rsidP="003B1E22">
      <w:pPr>
        <w:spacing w:line="360" w:lineRule="auto"/>
        <w:jc w:val="both"/>
        <w:rPr>
          <w:rFonts w:ascii="Cambria" w:hAnsi="Cambria" w:cs="Times New Roman"/>
          <w:sz w:val="20"/>
          <w:szCs w:val="20"/>
        </w:rPr>
      </w:pPr>
      <w:r w:rsidRPr="00BB1F4C">
        <w:rPr>
          <w:rFonts w:ascii="Cambria" w:hAnsi="Cambria" w:cs="Times New Roman"/>
          <w:b/>
          <w:bCs/>
          <w:color w:val="1C1D1E"/>
          <w:sz w:val="20"/>
          <w:szCs w:val="20"/>
          <w:shd w:val="clear" w:color="auto" w:fill="FFFFFF"/>
        </w:rPr>
        <w:t>Methods:</w:t>
      </w:r>
      <w:r w:rsidRPr="00BB1F4C">
        <w:rPr>
          <w:rStyle w:val="apple-converted-space"/>
          <w:rFonts w:ascii="Cambria" w:hAnsi="Cambria" w:cs="Times New Roman"/>
          <w:color w:val="1C1D1E"/>
          <w:sz w:val="20"/>
          <w:szCs w:val="20"/>
          <w:shd w:val="clear" w:color="auto" w:fill="FFFFFF"/>
        </w:rPr>
        <w:t xml:space="preserve"> The study included </w:t>
      </w:r>
      <w:r w:rsidRPr="00BB1F4C">
        <w:rPr>
          <w:rFonts w:ascii="Cambria" w:hAnsi="Cambria" w:cs="Times New Roman"/>
          <w:sz w:val="20"/>
          <w:szCs w:val="20"/>
        </w:rPr>
        <w:t>158 Stage I-III breast cancer patients operated between 2011 and 2018.</w:t>
      </w:r>
      <w:r w:rsidRPr="00BB1F4C">
        <w:rPr>
          <w:rFonts w:ascii="Cambria" w:hAnsi="Cambria" w:cs="Times New Roman"/>
          <w:color w:val="1C1D1E"/>
          <w:sz w:val="20"/>
          <w:szCs w:val="20"/>
          <w:shd w:val="clear" w:color="auto" w:fill="FFFFFF"/>
        </w:rPr>
        <w:t xml:space="preserve"> The incidence of axillary lymph node metastasis was correlated with clinical, radiological, pathological, and laboratory (</w:t>
      </w:r>
      <w:r w:rsidRPr="00BB1F4C">
        <w:rPr>
          <w:rFonts w:ascii="Cambria" w:hAnsi="Cambria" w:cs="Times New Roman"/>
          <w:sz w:val="20"/>
          <w:szCs w:val="20"/>
        </w:rPr>
        <w:t>neutrophil count to lymphocyte count, platelet count to lymphocyte count)</w:t>
      </w:r>
      <w:r w:rsidRPr="00BB1F4C">
        <w:rPr>
          <w:rFonts w:ascii="Cambria" w:hAnsi="Cambria" w:cs="Times New Roman"/>
          <w:color w:val="1C1D1E"/>
          <w:sz w:val="20"/>
          <w:szCs w:val="20"/>
          <w:shd w:val="clear" w:color="auto" w:fill="FFFFFF"/>
        </w:rPr>
        <w:t xml:space="preserve"> findings by univariate and multivariate analyses.</w:t>
      </w:r>
      <w:r w:rsidRPr="00BB1F4C">
        <w:rPr>
          <w:rFonts w:ascii="Cambria" w:hAnsi="Cambria" w:cs="Times New Roman"/>
          <w:sz w:val="20"/>
          <w:szCs w:val="20"/>
        </w:rPr>
        <w:t xml:space="preserve"> </w:t>
      </w:r>
    </w:p>
    <w:p w:rsidR="003B1E22" w:rsidRDefault="003B1E22" w:rsidP="003B1E22">
      <w:pPr>
        <w:spacing w:line="360" w:lineRule="auto"/>
        <w:jc w:val="both"/>
        <w:rPr>
          <w:rFonts w:ascii="Cambria" w:hAnsi="Cambria" w:cs="Times New Roman"/>
          <w:sz w:val="20"/>
          <w:szCs w:val="20"/>
        </w:rPr>
      </w:pPr>
      <w:r w:rsidRPr="00BB1F4C">
        <w:rPr>
          <w:rFonts w:ascii="Cambria" w:hAnsi="Cambria" w:cs="Times New Roman"/>
          <w:b/>
          <w:bCs/>
          <w:color w:val="1C1D1E"/>
          <w:sz w:val="20"/>
          <w:szCs w:val="20"/>
          <w:shd w:val="clear" w:color="auto" w:fill="FFFFFF"/>
        </w:rPr>
        <w:t>Results:</w:t>
      </w:r>
      <w:r w:rsidRPr="00BB1F4C">
        <w:rPr>
          <w:rStyle w:val="apple-converted-space"/>
          <w:rFonts w:ascii="Cambria" w:hAnsi="Cambria" w:cs="Times New Roman"/>
          <w:color w:val="1C1D1E"/>
          <w:sz w:val="20"/>
          <w:szCs w:val="20"/>
          <w:shd w:val="clear" w:color="auto" w:fill="FFFFFF"/>
        </w:rPr>
        <w:t> </w:t>
      </w:r>
      <w:r w:rsidRPr="00BB1F4C" w:rsidDel="00B54C22">
        <w:rPr>
          <w:rFonts w:ascii="Cambria" w:hAnsi="Cambria" w:cs="Times New Roman"/>
          <w:color w:val="1C1D1E"/>
          <w:sz w:val="20"/>
          <w:szCs w:val="20"/>
          <w:shd w:val="clear" w:color="auto" w:fill="FFFFFF"/>
        </w:rPr>
        <w:t xml:space="preserve"> </w:t>
      </w:r>
      <w:r w:rsidRPr="00BB1F4C">
        <w:rPr>
          <w:rFonts w:ascii="Cambria" w:hAnsi="Cambria" w:cs="Times New Roman"/>
          <w:sz w:val="20"/>
          <w:szCs w:val="20"/>
        </w:rPr>
        <w:t xml:space="preserve">Neutrophil and platelet values ​​were significantly higher in patients with lymph node metastasis. Neutrophil / lymphocyte ratio - platelet / lymphocyte ratio values ​​were higher in patients with axillary lymph node metastasis, but this was not statistically significant. Axillary lymph node metastasis was not associated with age, lymphocyte, monocyte count, estrogen receptor, progesterone receptor, or c-erb B2 status. The incidence of axillary lymph node metastasis was statistically significantly higher in the presence of </w:t>
      </w:r>
      <w:r w:rsidRPr="00111F20">
        <w:rPr>
          <w:rFonts w:ascii="Cambria" w:hAnsi="Cambria" w:cs="Times New Roman"/>
          <w:sz w:val="20"/>
          <w:szCs w:val="20"/>
        </w:rPr>
        <w:t>lymphovascular invasion. Sensitivity, specificity, positive predictive value, and negative predictive value were 93.85%, 16.67%, 44.9%, and 78.9% respectively for axillary lymph node metastasis while the neutrophil / lymphocyte ratio was ≥ 3.5. Specificity, sensitivity, positive predictive value, and negative predictive value were 97.78%, 9.23%, 75.0%, and 59.9% respectively for axillary lymph node metastasis while the neutrophil / lymphocyte ratio &lt; 1.</w:t>
      </w:r>
      <w:r>
        <w:rPr>
          <w:rFonts w:ascii="Cambria" w:hAnsi="Cambria" w:cs="Times New Roman"/>
          <w:sz w:val="20"/>
          <w:szCs w:val="20"/>
        </w:rPr>
        <w:t xml:space="preserve"> </w:t>
      </w:r>
    </w:p>
    <w:p w:rsidR="003B1E22" w:rsidRPr="00BB1F4C" w:rsidRDefault="003B1E22" w:rsidP="003B1E22">
      <w:pPr>
        <w:spacing w:line="360" w:lineRule="auto"/>
        <w:jc w:val="both"/>
        <w:rPr>
          <w:rFonts w:ascii="Cambria" w:hAnsi="Cambria" w:cs="Times New Roman"/>
          <w:sz w:val="20"/>
          <w:szCs w:val="20"/>
        </w:rPr>
      </w:pPr>
      <w:r w:rsidRPr="00BB1F4C">
        <w:rPr>
          <w:rFonts w:ascii="Cambria" w:hAnsi="Cambria" w:cs="Times New Roman"/>
          <w:b/>
          <w:bCs/>
          <w:color w:val="1C1D1E"/>
          <w:sz w:val="20"/>
          <w:szCs w:val="20"/>
          <w:shd w:val="clear" w:color="auto" w:fill="FFFFFF"/>
        </w:rPr>
        <w:t>Conclusions:</w:t>
      </w:r>
      <w:r w:rsidRPr="00BB1F4C">
        <w:rPr>
          <w:rFonts w:ascii="Cambria" w:hAnsi="Cambria" w:cs="Times New Roman"/>
          <w:sz w:val="20"/>
          <w:szCs w:val="20"/>
        </w:rPr>
        <w:t xml:space="preserve"> For axillary lymph node metastasis, neutrophil, platelet counts, lymphovascular invasion status, radiological and pathological mass size, and presence of radiological axillary lymphadenopathy are the statistically significant independent variables. They provide information that can help surgeons decide on the treatment of breast cancer patients with specific neutrophil / lymphocyte ratio values (neutrophil / lymphocyte ratio &lt;1 and neutrophil / lymphocyte ratio ≥3.5).</w:t>
      </w:r>
    </w:p>
    <w:p w:rsidR="00CD286F" w:rsidRDefault="00CD286F"/>
    <w:sectPr w:rsidR="00CD286F" w:rsidSect="00CD286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08"/>
  <w:hyphenationZone w:val="425"/>
  <w:characterSpacingControl w:val="doNotCompress"/>
  <w:savePreviewPicture/>
  <w:compat/>
  <w:rsids>
    <w:rsidRoot w:val="003B1E22"/>
    <w:rsid w:val="003B1E22"/>
    <w:rsid w:val="00CD286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E22"/>
    <w:rPr>
      <w:rFonts w:eastAsiaTheme="minorEastAsia"/>
      <w:lang w:val="en-GB"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3B1E2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344</Words>
  <Characters>1962</Characters>
  <Application>Microsoft Office Word</Application>
  <DocSecurity>0</DocSecurity>
  <Lines>16</Lines>
  <Paragraphs>4</Paragraphs>
  <ScaleCrop>false</ScaleCrop>
  <Company/>
  <LinksUpToDate>false</LinksUpToDate>
  <CharactersWithSpaces>2302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tugbahanoner</dc:creator>
  <cp:lastModifiedBy>tugbahanoner</cp:lastModifiedBy>
  <cp:revision>1</cp:revision>
  <dcterms:created xsi:type="dcterms:W3CDTF">2020-01-22T08:52:00Z</dcterms:created>
  <dcterms:modified xsi:type="dcterms:W3CDTF">2020-01-22T08:54:00Z</dcterms:modified>
</cp:coreProperties>
</file>