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33A" w:rsidRPr="005B7D07" w:rsidRDefault="00E37BD1" w:rsidP="005B7D07">
      <w:pPr>
        <w:rPr>
          <w:b/>
          <w:iCs/>
          <w:color w:val="333333"/>
          <w:shd w:val="clear" w:color="auto" w:fill="FFFFFF"/>
        </w:rPr>
      </w:pPr>
      <w:bookmarkStart w:id="0" w:name="_GoBack"/>
      <w:bookmarkEnd w:id="0"/>
      <w:r w:rsidRPr="005B7D07">
        <w:rPr>
          <w:b/>
          <w:iCs/>
          <w:color w:val="333333"/>
          <w:shd w:val="clear" w:color="auto" w:fill="FFFFFF"/>
        </w:rPr>
        <w:t xml:space="preserve">Title: </w:t>
      </w:r>
      <w:r w:rsidR="005276B1" w:rsidRPr="005276B1">
        <w:rPr>
          <w:b/>
          <w:iCs/>
          <w:color w:val="333333"/>
          <w:shd w:val="clear" w:color="auto" w:fill="FFFFFF"/>
        </w:rPr>
        <w:t xml:space="preserve">A Quantum mechanical AMBER-compatible algebraic in </w:t>
      </w:r>
      <w:proofErr w:type="spellStart"/>
      <w:r w:rsidR="005276B1" w:rsidRPr="005276B1">
        <w:rPr>
          <w:b/>
          <w:iCs/>
          <w:color w:val="333333"/>
          <w:shd w:val="clear" w:color="auto" w:fill="FFFFFF"/>
        </w:rPr>
        <w:t>silico</w:t>
      </w:r>
      <w:proofErr w:type="spellEnd"/>
      <w:r w:rsidR="005276B1" w:rsidRPr="005276B1">
        <w:rPr>
          <w:b/>
          <w:iCs/>
          <w:color w:val="333333"/>
          <w:shd w:val="clear" w:color="auto" w:fill="FFFFFF"/>
        </w:rPr>
        <w:t xml:space="preserve"> discovery of the </w:t>
      </w:r>
      <w:proofErr w:type="spellStart"/>
      <w:r w:rsidR="005276B1" w:rsidRPr="005276B1">
        <w:rPr>
          <w:b/>
          <w:iCs/>
          <w:color w:val="333333"/>
          <w:shd w:val="clear" w:color="auto" w:fill="FFFFFF"/>
        </w:rPr>
        <w:t>MicrocrylaqTM</w:t>
      </w:r>
      <w:proofErr w:type="spellEnd"/>
      <w:r w:rsidR="005276B1" w:rsidRPr="005276B1">
        <w:rPr>
          <w:b/>
          <w:iCs/>
          <w:color w:val="333333"/>
          <w:shd w:val="clear" w:color="auto" w:fill="FFFFFF"/>
        </w:rPr>
        <w:t xml:space="preserve"> multi-</w:t>
      </w:r>
      <w:proofErr w:type="spellStart"/>
      <w:r w:rsidR="005276B1" w:rsidRPr="005276B1">
        <w:rPr>
          <w:b/>
          <w:iCs/>
          <w:color w:val="333333"/>
          <w:shd w:val="clear" w:color="auto" w:fill="FFFFFF"/>
        </w:rPr>
        <w:t>epitope</w:t>
      </w:r>
      <w:proofErr w:type="spellEnd"/>
      <w:r w:rsidR="005276B1" w:rsidRPr="005276B1">
        <w:rPr>
          <w:b/>
          <w:iCs/>
          <w:color w:val="333333"/>
          <w:shd w:val="clear" w:color="auto" w:fill="FFFFFF"/>
        </w:rPr>
        <w:t xml:space="preserve"> mimic poly-</w:t>
      </w:r>
      <w:proofErr w:type="spellStart"/>
      <w:r w:rsidR="005276B1" w:rsidRPr="005276B1">
        <w:rPr>
          <w:b/>
          <w:iCs/>
          <w:color w:val="333333"/>
          <w:shd w:val="clear" w:color="auto" w:fill="FFFFFF"/>
        </w:rPr>
        <w:t>pharmacophore</w:t>
      </w:r>
      <w:proofErr w:type="spellEnd"/>
      <w:r w:rsidR="005276B1" w:rsidRPr="005276B1">
        <w:rPr>
          <w:b/>
          <w:iCs/>
          <w:color w:val="333333"/>
          <w:shd w:val="clear" w:color="auto" w:fill="FFFFFF"/>
        </w:rPr>
        <w:t xml:space="preserve"> targeted to the G719S/T790M double mutant for the regulation of drug sensitivities caused by distinct NSCLC-associated EGFR mutations.</w:t>
      </w:r>
    </w:p>
    <w:p w:rsidR="00E37BD1" w:rsidRPr="005B7D07" w:rsidRDefault="00E37BD1" w:rsidP="005B7D07">
      <w:pPr>
        <w:rPr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Name: </w:t>
      </w:r>
      <w:proofErr w:type="spellStart"/>
      <w:r w:rsidR="005276B1">
        <w:t>Grigoriadis</w:t>
      </w:r>
      <w:proofErr w:type="spellEnd"/>
      <w:r w:rsidR="005276B1">
        <w:t xml:space="preserve"> J.</w:t>
      </w:r>
    </w:p>
    <w:p w:rsidR="00E37BD1" w:rsidRDefault="00E37BD1" w:rsidP="005B7D07">
      <w:pPr>
        <w:rPr>
          <w:i/>
          <w:iCs/>
          <w:color w:val="333333"/>
          <w:shd w:val="clear" w:color="auto" w:fill="FFFFFF"/>
        </w:rPr>
      </w:pPr>
      <w:r w:rsidRPr="005B7D07">
        <w:rPr>
          <w:iCs/>
          <w:color w:val="333333"/>
          <w:shd w:val="clear" w:color="auto" w:fill="FFFFFF"/>
        </w:rPr>
        <w:t xml:space="preserve">Affiliation: </w:t>
      </w:r>
      <w:proofErr w:type="spellStart"/>
      <w:r w:rsidR="005276B1">
        <w:rPr>
          <w:i/>
          <w:iCs/>
          <w:color w:val="333333"/>
          <w:shd w:val="clear" w:color="auto" w:fill="FFFFFF"/>
        </w:rPr>
        <w:t>Biogenea</w:t>
      </w:r>
      <w:proofErr w:type="spellEnd"/>
      <w:r w:rsidR="005276B1">
        <w:rPr>
          <w:i/>
          <w:iCs/>
          <w:color w:val="333333"/>
          <w:shd w:val="clear" w:color="auto" w:fill="FFFFFF"/>
        </w:rPr>
        <w:t xml:space="preserve"> SA, </w:t>
      </w:r>
      <w:r w:rsidR="005276B1" w:rsidRPr="005276B1">
        <w:rPr>
          <w:i/>
          <w:iCs/>
          <w:color w:val="333333"/>
          <w:shd w:val="clear" w:color="auto" w:fill="FFFFFF"/>
        </w:rPr>
        <w:t xml:space="preserve">Department of Computer Drug Discovery Science, </w:t>
      </w:r>
      <w:proofErr w:type="spellStart"/>
      <w:r w:rsidR="005276B1" w:rsidRPr="005276B1">
        <w:rPr>
          <w:i/>
          <w:iCs/>
          <w:color w:val="333333"/>
          <w:shd w:val="clear" w:color="auto" w:fill="FFFFFF"/>
        </w:rPr>
        <w:t>BiogenetoligandorolTM</w:t>
      </w:r>
      <w:proofErr w:type="gramStart"/>
      <w:r w:rsidR="005276B1" w:rsidRPr="005276B1">
        <w:rPr>
          <w:i/>
          <w:iCs/>
          <w:color w:val="333333"/>
          <w:shd w:val="clear" w:color="auto" w:fill="FFFFFF"/>
        </w:rPr>
        <w:t>,Biogenea</w:t>
      </w:r>
      <w:proofErr w:type="spellEnd"/>
      <w:proofErr w:type="gramEnd"/>
      <w:r w:rsidR="005276B1" w:rsidRPr="005276B1">
        <w:rPr>
          <w:i/>
          <w:iCs/>
          <w:color w:val="333333"/>
          <w:shd w:val="clear" w:color="auto" w:fill="FFFFFF"/>
        </w:rPr>
        <w:t xml:space="preserve"> Pharmaceuticals </w:t>
      </w:r>
      <w:proofErr w:type="spellStart"/>
      <w:r w:rsidR="005276B1" w:rsidRPr="005276B1">
        <w:rPr>
          <w:i/>
          <w:iCs/>
          <w:color w:val="333333"/>
          <w:shd w:val="clear" w:color="auto" w:fill="FFFFFF"/>
        </w:rPr>
        <w:t>Ltd,Thessaloniki</w:t>
      </w:r>
      <w:proofErr w:type="spellEnd"/>
      <w:r w:rsidR="005276B1" w:rsidRPr="005276B1">
        <w:rPr>
          <w:i/>
          <w:iCs/>
          <w:color w:val="333333"/>
          <w:shd w:val="clear" w:color="auto" w:fill="FFFFFF"/>
        </w:rPr>
        <w:t xml:space="preserve">, </w:t>
      </w:r>
      <w:r w:rsidR="005276B1">
        <w:rPr>
          <w:i/>
          <w:iCs/>
          <w:color w:val="333333"/>
          <w:shd w:val="clear" w:color="auto" w:fill="FFFFFF"/>
        </w:rPr>
        <w:t>GREECE</w:t>
      </w:r>
    </w:p>
    <w:p w:rsidR="001F1383" w:rsidRDefault="001F1383" w:rsidP="005B7D07"/>
    <w:p w:rsidR="00E37BD1" w:rsidRPr="005B7D07" w:rsidRDefault="00E37BD1" w:rsidP="005B7D07">
      <w:pPr>
        <w:rPr>
          <w:b/>
        </w:rPr>
      </w:pPr>
      <w:r w:rsidRPr="005B7D07">
        <w:rPr>
          <w:b/>
        </w:rPr>
        <w:t>Abstract</w:t>
      </w:r>
      <w:r w:rsidR="009215E3">
        <w:rPr>
          <w:b/>
        </w:rPr>
        <w:t xml:space="preserve"> </w:t>
      </w:r>
    </w:p>
    <w:p w:rsidR="005276B1" w:rsidRDefault="005276B1" w:rsidP="005276B1">
      <w:r>
        <w:t xml:space="preserve">The epidermal growth factor receptor (EGFR) has an essential role in multiple signaling pathways, including cell proliferation and migration, through extracellular </w:t>
      </w:r>
      <w:proofErr w:type="spellStart"/>
      <w:r>
        <w:t>ligand</w:t>
      </w:r>
      <w:proofErr w:type="spellEnd"/>
      <w:r>
        <w:t xml:space="preserve"> binding and subsequent activation of its intracellular tyrosine </w:t>
      </w:r>
      <w:proofErr w:type="spellStart"/>
      <w:r>
        <w:t>kinase</w:t>
      </w:r>
      <w:proofErr w:type="spellEnd"/>
      <w:r>
        <w:t xml:space="preserve"> (TK) domain. The non-small cell lung cancer (NSCLC)-associated EGFR mutants, L858R and G719S, are constitutively active and </w:t>
      </w:r>
      <w:proofErr w:type="spellStart"/>
      <w:r>
        <w:t>oncogenic</w:t>
      </w:r>
      <w:proofErr w:type="spellEnd"/>
      <w:r>
        <w:t xml:space="preserve">. They display sensitivity to TK inhibitors, including </w:t>
      </w:r>
      <w:proofErr w:type="spellStart"/>
      <w:r>
        <w:t>gefitinib</w:t>
      </w:r>
      <w:proofErr w:type="spellEnd"/>
      <w:r>
        <w:t xml:space="preserve"> and </w:t>
      </w:r>
      <w:proofErr w:type="spellStart"/>
      <w:r>
        <w:t>erlotinib</w:t>
      </w:r>
      <w:proofErr w:type="spellEnd"/>
      <w:r>
        <w:t xml:space="preserve">. In contrast, the secondary mutation of the gatekeeper residue, T790M, reportedly confers inhibitor resistance on the </w:t>
      </w:r>
      <w:proofErr w:type="spellStart"/>
      <w:r>
        <w:t>oncogenic</w:t>
      </w:r>
      <w:proofErr w:type="spellEnd"/>
      <w:r>
        <w:t xml:space="preserve"> EGFR mutants. Latest biochemical analyses have been revealed that the introduction of the T790M mutation confers </w:t>
      </w:r>
      <w:proofErr w:type="spellStart"/>
      <w:r>
        <w:t>gefitinib</w:t>
      </w:r>
      <w:proofErr w:type="spellEnd"/>
      <w:r>
        <w:t xml:space="preserve"> resistance on the G719S mutant. The G719S/T790M double mutant has enhanced activity and retains high </w:t>
      </w:r>
      <w:proofErr w:type="spellStart"/>
      <w:r>
        <w:t>gefitinib</w:t>
      </w:r>
      <w:proofErr w:type="spellEnd"/>
      <w:r>
        <w:t xml:space="preserve">-binding affinity. The T790M mutation increases the ATP affinity of the G719S mutant, explaining the acquired drug resistance of the double mutant. Structural analyses of the G719S/T790M double mutant, as well as the wild type and the G719S and L858R mutants, revealed that the T790M mutation stabilizes the hydrophobic spine of </w:t>
      </w:r>
      <w:r>
        <w:t>the active EGFR-TK conformation</w:t>
      </w:r>
      <w:r>
        <w:t xml:space="preserve">. Different patterns for substrate docking are also studied depending on the choice </w:t>
      </w:r>
      <w:proofErr w:type="gramStart"/>
      <w:r>
        <w:t>of  G719S</w:t>
      </w:r>
      <w:proofErr w:type="gramEnd"/>
      <w:r>
        <w:t xml:space="preserve">/T790M double mutant model and state. Newly parameterized G719S/T790M double mutant models are tested in implicit and explicitly solvated MD simulations in the absence and presence of </w:t>
      </w:r>
      <w:proofErr w:type="spellStart"/>
      <w:r>
        <w:t>MicrocrylaqTM</w:t>
      </w:r>
      <w:proofErr w:type="spellEnd"/>
      <w:r>
        <w:t xml:space="preserve"> chemical structures, and appear to be stable on the nanosecond simulation timescale. Taken together, our results provide a structural basis for the altered drug sensitivities caused by utilizing our Quantum Mechanical AMBER-compatible algebraic computing approach for structural proteome-wide </w:t>
      </w:r>
      <w:proofErr w:type="spellStart"/>
      <w:r>
        <w:t>ligand</w:t>
      </w:r>
      <w:proofErr w:type="spellEnd"/>
      <w:r>
        <w:t xml:space="preserve">-binding site comparisons of the </w:t>
      </w:r>
      <w:proofErr w:type="spellStart"/>
      <w:r>
        <w:t>MicrocrylaqTM</w:t>
      </w:r>
      <w:proofErr w:type="spellEnd"/>
      <w:r>
        <w:t xml:space="preserve"> multi-</w:t>
      </w:r>
      <w:proofErr w:type="spellStart"/>
      <w:r>
        <w:t>epitope</w:t>
      </w:r>
      <w:proofErr w:type="spellEnd"/>
      <w:r>
        <w:t xml:space="preserve"> mimic poly-</w:t>
      </w:r>
      <w:proofErr w:type="spellStart"/>
      <w:r>
        <w:t>pharmacophore</w:t>
      </w:r>
      <w:proofErr w:type="spellEnd"/>
      <w:r>
        <w:t xml:space="preserve"> targeted to the G719S/T790M double mutant for the regulation of drug sensitivities caused by distinct NSCLC-associated EGFR mutations.</w:t>
      </w:r>
    </w:p>
    <w:p w:rsidR="005276B1" w:rsidRDefault="005276B1" w:rsidP="005276B1"/>
    <w:p w:rsidR="00E37BD1" w:rsidRPr="005B7D07" w:rsidRDefault="00E37BD1" w:rsidP="005B7D07"/>
    <w:p w:rsidR="00E37BD1" w:rsidRPr="005B7D07" w:rsidRDefault="00E37BD1" w:rsidP="005B7D07"/>
    <w:p w:rsidR="00CE6677" w:rsidRPr="005B7D07" w:rsidRDefault="00B8710A" w:rsidP="005B7D07">
      <w:pPr>
        <w:rPr>
          <w:b/>
        </w:rPr>
      </w:pPr>
      <w:r w:rsidRPr="005B7D07">
        <w:rPr>
          <w:b/>
        </w:rPr>
        <w:t>Biography</w:t>
      </w:r>
      <w:r w:rsidR="009215E3">
        <w:rPr>
          <w:b/>
        </w:rPr>
        <w:t xml:space="preserve"> </w:t>
      </w:r>
    </w:p>
    <w:p w:rsidR="005276B1" w:rsidRPr="00337266" w:rsidRDefault="005276B1" w:rsidP="005276B1">
      <w:pPr>
        <w:rPr>
          <w:b/>
        </w:rPr>
      </w:pPr>
      <w:proofErr w:type="spellStart"/>
      <w:r w:rsidRPr="00337266">
        <w:rPr>
          <w:b/>
        </w:rPr>
        <w:t>Ioannis</w:t>
      </w:r>
      <w:proofErr w:type="spellEnd"/>
      <w:r w:rsidRPr="00337266">
        <w:rPr>
          <w:b/>
        </w:rPr>
        <w:t xml:space="preserve"> </w:t>
      </w:r>
      <w:proofErr w:type="spellStart"/>
      <w:r w:rsidRPr="00337266">
        <w:rPr>
          <w:b/>
        </w:rPr>
        <w:t>Grigoriadis</w:t>
      </w:r>
      <w:proofErr w:type="spellEnd"/>
      <w:r w:rsidRPr="00337266">
        <w:rPr>
          <w:b/>
        </w:rPr>
        <w:t xml:space="preserve"> has completed his </w:t>
      </w:r>
      <w:proofErr w:type="spellStart"/>
      <w:r w:rsidRPr="00337266">
        <w:rPr>
          <w:b/>
        </w:rPr>
        <w:t>PharmacistD</w:t>
      </w:r>
      <w:proofErr w:type="spellEnd"/>
      <w:r w:rsidRPr="00337266">
        <w:rPr>
          <w:b/>
        </w:rPr>
        <w:t xml:space="preserve"> at the age of 24 years from Aristotle University of Thessaloniki. He is the scientific director of </w:t>
      </w:r>
      <w:proofErr w:type="spellStart"/>
      <w:r w:rsidRPr="00337266">
        <w:rPr>
          <w:b/>
        </w:rPr>
        <w:t>Biogenea</w:t>
      </w:r>
      <w:proofErr w:type="spellEnd"/>
    </w:p>
    <w:p w:rsidR="005276B1" w:rsidRPr="005B7D07" w:rsidRDefault="005276B1" w:rsidP="005276B1">
      <w:pPr>
        <w:rPr>
          <w:b/>
        </w:rPr>
      </w:pPr>
      <w:r w:rsidRPr="00337266">
        <w:rPr>
          <w:b/>
        </w:rPr>
        <w:t>Pharmaceuticals Ltd, a premier biotechnology personalized cancer vaccination service organization. He has published more than 20</w:t>
      </w:r>
      <w:r>
        <w:rPr>
          <w:b/>
        </w:rPr>
        <w:t>0</w:t>
      </w:r>
      <w:r w:rsidRPr="00337266">
        <w:rPr>
          <w:b/>
        </w:rPr>
        <w:t xml:space="preserve"> papers in reputed </w:t>
      </w:r>
      <w:r>
        <w:rPr>
          <w:b/>
        </w:rPr>
        <w:t>drug designing journals.</w:t>
      </w:r>
    </w:p>
    <w:p w:rsidR="007D233A" w:rsidRDefault="007D233A" w:rsidP="005B7D07"/>
    <w:p w:rsidR="005B7D07" w:rsidRPr="005B7D07" w:rsidRDefault="000F6C4B" w:rsidP="005B7D07">
      <w:pPr>
        <w:jc w:val="right"/>
      </w:pPr>
      <w:r>
        <w:t xml:space="preserve">Email ID: </w:t>
      </w:r>
      <w:r w:rsidR="005276B1">
        <w:t>jgrigoriadis@biogenea.gr</w:t>
      </w:r>
    </w:p>
    <w:p w:rsidR="007D233A" w:rsidRDefault="007D233A" w:rsidP="005B7D07"/>
    <w:p w:rsidR="005B7D07" w:rsidRDefault="005B7D07" w:rsidP="005B7D07">
      <w:r>
        <w:t xml:space="preserve">Presenter Name: </w:t>
      </w:r>
      <w:proofErr w:type="spellStart"/>
      <w:r w:rsidR="005276B1">
        <w:t>Grigoriadis</w:t>
      </w:r>
      <w:proofErr w:type="spellEnd"/>
      <w:r w:rsidR="005276B1">
        <w:t xml:space="preserve"> J.</w:t>
      </w:r>
    </w:p>
    <w:p w:rsidR="006758A2" w:rsidRDefault="005B7D07" w:rsidP="005B7D07">
      <w:r>
        <w:t>Type of Presentation: Speaker</w:t>
      </w:r>
    </w:p>
    <w:p w:rsidR="000F6C4B" w:rsidRDefault="000F6C4B" w:rsidP="005B7D07">
      <w:r>
        <w:t>Contact Number:</w:t>
      </w:r>
      <w:r w:rsidR="00B057F9">
        <w:t xml:space="preserve"> </w:t>
      </w:r>
      <w:r w:rsidR="005276B1">
        <w:t>+30(0)6936592686</w:t>
      </w:r>
    </w:p>
    <w:p w:rsidR="000F6C4B" w:rsidRDefault="000F6C4B" w:rsidP="005B7D07"/>
    <w:p w:rsidR="000F6C4B" w:rsidRDefault="000F6C4B" w:rsidP="005B7D07"/>
    <w:p w:rsidR="000F6C4B" w:rsidRDefault="000F6C4B" w:rsidP="005B7D07"/>
    <w:p w:rsidR="000F6C4B" w:rsidRPr="005B7D07" w:rsidRDefault="000F6C4B" w:rsidP="005B7D07"/>
    <w:sectPr w:rsidR="000F6C4B" w:rsidRPr="005B7D07" w:rsidSect="00A72842">
      <w:headerReference w:type="default" r:id="rId7"/>
      <w:footerReference w:type="default" r:id="rId8"/>
      <w:pgSz w:w="12240" w:h="15840"/>
      <w:pgMar w:top="1440" w:right="1440" w:bottom="1440" w:left="1440" w:header="432" w:footer="432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BBE" w:rsidRDefault="00321BBE" w:rsidP="00BD61DA">
      <w:r>
        <w:separator/>
      </w:r>
    </w:p>
  </w:endnote>
  <w:endnote w:type="continuationSeparator" w:id="0">
    <w:p w:rsidR="00321BBE" w:rsidRDefault="00321BBE" w:rsidP="00BD61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A2" w:rsidRDefault="006758A2" w:rsidP="006758A2">
    <w:pPr>
      <w:pStyle w:val="a7"/>
      <w:jc w:val="right"/>
    </w:pPr>
    <w:r w:rsidRPr="006758A2">
      <w:t>http://3dprinting-medical.alliedacademies.com/</w:t>
    </w:r>
  </w:p>
  <w:p w:rsidR="006758A2" w:rsidRDefault="006758A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BBE" w:rsidRDefault="00321BBE" w:rsidP="00BD61DA">
      <w:r>
        <w:separator/>
      </w:r>
    </w:p>
  </w:footnote>
  <w:footnote w:type="continuationSeparator" w:id="0">
    <w:p w:rsidR="00321BBE" w:rsidRDefault="00321BBE" w:rsidP="00BD61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8A2" w:rsidRDefault="006758A2" w:rsidP="006758A2">
    <w:pPr>
      <w:pStyle w:val="a6"/>
      <w:jc w:val="right"/>
      <w:rPr>
        <w:sz w:val="30"/>
        <w:szCs w:val="30"/>
      </w:rPr>
    </w:pPr>
    <w:r w:rsidRPr="006758A2">
      <w:rPr>
        <w:sz w:val="30"/>
        <w:szCs w:val="30"/>
      </w:rPr>
      <w:t>3D Printing and Medicine Annual Congress</w:t>
    </w:r>
  </w:p>
  <w:p w:rsidR="006758A2" w:rsidRPr="006758A2" w:rsidRDefault="006758A2" w:rsidP="006758A2">
    <w:pPr>
      <w:pStyle w:val="a6"/>
      <w:jc w:val="right"/>
      <w:rPr>
        <w:sz w:val="20"/>
        <w:szCs w:val="20"/>
      </w:rPr>
    </w:pPr>
    <w:r w:rsidRPr="006758A2">
      <w:rPr>
        <w:sz w:val="20"/>
        <w:szCs w:val="20"/>
      </w:rPr>
      <w:t>Las Vegas, Nevada, USA | October 5-6, 2017</w:t>
    </w:r>
  </w:p>
  <w:p w:rsidR="00BD61DA" w:rsidRPr="00BD61DA" w:rsidRDefault="00BD61DA">
    <w:pPr>
      <w:pStyle w:val="a6"/>
      <w:rPr>
        <w:lang w:val="en-IN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D605F8"/>
    <w:rsid w:val="0002392A"/>
    <w:rsid w:val="00074C9C"/>
    <w:rsid w:val="000D6718"/>
    <w:rsid w:val="000F6C4B"/>
    <w:rsid w:val="001B06AE"/>
    <w:rsid w:val="001F1383"/>
    <w:rsid w:val="0023795B"/>
    <w:rsid w:val="00265E72"/>
    <w:rsid w:val="002C359D"/>
    <w:rsid w:val="002C3D9B"/>
    <w:rsid w:val="003057DC"/>
    <w:rsid w:val="0031455A"/>
    <w:rsid w:val="00321BBE"/>
    <w:rsid w:val="00363668"/>
    <w:rsid w:val="00384441"/>
    <w:rsid w:val="003A3C5A"/>
    <w:rsid w:val="003B78DC"/>
    <w:rsid w:val="00437503"/>
    <w:rsid w:val="00441F91"/>
    <w:rsid w:val="004D7813"/>
    <w:rsid w:val="004E62DD"/>
    <w:rsid w:val="004F0441"/>
    <w:rsid w:val="005276B1"/>
    <w:rsid w:val="005B4B32"/>
    <w:rsid w:val="005B7D07"/>
    <w:rsid w:val="00654259"/>
    <w:rsid w:val="006758A2"/>
    <w:rsid w:val="007341F9"/>
    <w:rsid w:val="0078229D"/>
    <w:rsid w:val="007B0D32"/>
    <w:rsid w:val="007D00E7"/>
    <w:rsid w:val="007D233A"/>
    <w:rsid w:val="007D5AD0"/>
    <w:rsid w:val="007D65C7"/>
    <w:rsid w:val="0080430B"/>
    <w:rsid w:val="008747F9"/>
    <w:rsid w:val="008E2F78"/>
    <w:rsid w:val="008E737B"/>
    <w:rsid w:val="00912F54"/>
    <w:rsid w:val="009215E3"/>
    <w:rsid w:val="009C4972"/>
    <w:rsid w:val="009E52D9"/>
    <w:rsid w:val="00A4183E"/>
    <w:rsid w:val="00A50C1E"/>
    <w:rsid w:val="00A67093"/>
    <w:rsid w:val="00A72842"/>
    <w:rsid w:val="00AA5A30"/>
    <w:rsid w:val="00AC5543"/>
    <w:rsid w:val="00AF61EB"/>
    <w:rsid w:val="00B03DB8"/>
    <w:rsid w:val="00B057F9"/>
    <w:rsid w:val="00B17C38"/>
    <w:rsid w:val="00B44878"/>
    <w:rsid w:val="00B8710A"/>
    <w:rsid w:val="00BA2068"/>
    <w:rsid w:val="00BA6511"/>
    <w:rsid w:val="00BD61DA"/>
    <w:rsid w:val="00C07C5B"/>
    <w:rsid w:val="00C578FF"/>
    <w:rsid w:val="00C828BF"/>
    <w:rsid w:val="00CE6677"/>
    <w:rsid w:val="00D054D8"/>
    <w:rsid w:val="00D605F8"/>
    <w:rsid w:val="00D734FE"/>
    <w:rsid w:val="00D841B1"/>
    <w:rsid w:val="00DC433A"/>
    <w:rsid w:val="00E37BD1"/>
    <w:rsid w:val="00E63452"/>
    <w:rsid w:val="00ED2B89"/>
    <w:rsid w:val="00F26034"/>
    <w:rsid w:val="00F848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7503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a5">
    <w:name w:val="caption"/>
    <w:basedOn w:val="a"/>
    <w:next w:val="a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0">
    <w:name w:val="Κεφαλίδα Char"/>
    <w:basedOn w:val="a0"/>
    <w:link w:val="a6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a7">
    <w:name w:val="footer"/>
    <w:basedOn w:val="a"/>
    <w:link w:val="Char1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Char1">
    <w:name w:val="Υποσέλιδο Char"/>
    <w:basedOn w:val="a0"/>
    <w:link w:val="a7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-">
    <w:name w:val="Hyperlink"/>
    <w:basedOn w:val="a0"/>
    <w:uiPriority w:val="99"/>
    <w:unhideWhenUsed/>
    <w:rsid w:val="00A72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D61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61DA"/>
    <w:rPr>
      <w:rFonts w:ascii="Times New Roman" w:eastAsia="Batang" w:hAnsi="Times New Roman"/>
      <w:sz w:val="24"/>
      <w:szCs w:val="24"/>
      <w:lang w:eastAsia="ko-KR"/>
    </w:rPr>
  </w:style>
  <w:style w:type="character" w:styleId="Hyperlink">
    <w:name w:val="Hyperlink"/>
    <w:basedOn w:val="DefaultParagraphFont"/>
    <w:uiPriority w:val="99"/>
    <w:unhideWhenUsed/>
    <w:rsid w:val="00A728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45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8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5A02F2-45A4-4883-8EB3-3ED20D0BB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2458</Characters>
  <Application>Microsoft Office Word</Application>
  <DocSecurity>0</DocSecurity>
  <Lines>20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cellgenea</cp:lastModifiedBy>
  <cp:revision>2</cp:revision>
  <dcterms:created xsi:type="dcterms:W3CDTF">2018-10-20T10:38:00Z</dcterms:created>
  <dcterms:modified xsi:type="dcterms:W3CDTF">2018-10-20T10:38:00Z</dcterms:modified>
</cp:coreProperties>
</file>