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Текст 3"/>
        <w:widowControl w:val="0"/>
        <w:bidi w:val="0"/>
        <w:spacing w:line="360" w:lineRule="auto"/>
        <w:ind w:left="0" w:right="0" w:firstLine="0"/>
        <w:jc w:val="right"/>
        <w:rPr>
          <w:rFonts w:ascii="Times New Roman" w:cs="Times New Roman" w:hAnsi="Times New Roman" w:eastAsia="Times New Roman"/>
          <w:b w:val="1"/>
          <w:bCs w:val="1"/>
          <w:color w:val="000000"/>
          <w:spacing w:val="3"/>
          <w:kern w:val="2"/>
          <w:sz w:val="22"/>
          <w:szCs w:val="22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color w:val="000000"/>
          <w:spacing w:val="3"/>
          <w:kern w:val="2"/>
          <w:sz w:val="22"/>
          <w:szCs w:val="22"/>
          <w:u w:val="single" w:color="000000"/>
          <w:rtl w:val="0"/>
          <w:lang w:val="en-US"/>
        </w:rPr>
        <w:t>Hojouj Mohammad I M</w:t>
      </w:r>
      <w:r>
        <w:rPr>
          <w:rFonts w:ascii="Times New Roman" w:hAnsi="Times New Roman"/>
          <w:b w:val="1"/>
          <w:bCs w:val="1"/>
          <w:color w:val="000000"/>
          <w:spacing w:val="3"/>
          <w:kern w:val="2"/>
          <w:sz w:val="22"/>
          <w:szCs w:val="22"/>
          <w:u w:color="000000"/>
          <w:rtl w:val="0"/>
          <w:lang w:val="en-US"/>
        </w:rPr>
        <w:t xml:space="preserve">, </w:t>
      </w:r>
      <w:r>
        <w:rPr>
          <w:rFonts w:ascii="Times New Roman" w:hAnsi="Times New Roman"/>
          <w:sz w:val="20"/>
          <w:szCs w:val="20"/>
          <w:u w:color="000000"/>
          <w:vertAlign w:val="superscript"/>
          <w:rtl w:val="0"/>
          <w:lang w:val="en-US"/>
        </w:rPr>
        <w:t>1</w:t>
      </w:r>
      <w:r>
        <w:rPr>
          <w:rFonts w:ascii="Times New Roman" w:hAnsi="Times New Roman"/>
          <w:color w:val="000000"/>
          <w:spacing w:val="3"/>
          <w:kern w:val="2"/>
          <w:sz w:val="22"/>
          <w:szCs w:val="22"/>
          <w:u w:color="000000"/>
          <w:rtl w:val="0"/>
          <w:lang w:val="en-US"/>
        </w:rPr>
        <w:t>I. N. Bondarenko</w:t>
      </w:r>
      <w:r>
        <w:rPr>
          <w:rFonts w:ascii="Times New Roman" w:hAnsi="Times New Roman"/>
          <w:b w:val="1"/>
          <w:bCs w:val="1"/>
          <w:color w:val="000000"/>
          <w:spacing w:val="3"/>
          <w:kern w:val="2"/>
          <w:sz w:val="22"/>
          <w:szCs w:val="22"/>
          <w:u w:color="000000"/>
          <w:rtl w:val="0"/>
          <w:lang w:val="en-US"/>
        </w:rPr>
        <w:t>,V</w:t>
      </w:r>
      <w:r>
        <w:rPr>
          <w:rFonts w:ascii="Times New Roman" w:hAnsi="Times New Roman"/>
          <w:b w:val="1"/>
          <w:bCs w:val="1"/>
          <w:color w:val="000000"/>
          <w:spacing w:val="3"/>
          <w:kern w:val="2"/>
          <w:sz w:val="22"/>
          <w:szCs w:val="22"/>
          <w:u w:color="000000"/>
          <w:rtl w:val="0"/>
          <w:lang w:val="en-US"/>
        </w:rPr>
        <w:t>.F</w:t>
      </w:r>
      <w:r>
        <w:rPr>
          <w:rFonts w:ascii="Times New Roman" w:hAnsi="Times New Roman"/>
          <w:b w:val="1"/>
          <w:bCs w:val="1"/>
          <w:color w:val="000000"/>
          <w:spacing w:val="3"/>
          <w:kern w:val="2"/>
          <w:sz w:val="22"/>
          <w:szCs w:val="22"/>
          <w:u w:color="000000"/>
          <w:rtl w:val="0"/>
          <w:lang w:val="en-US"/>
        </w:rPr>
        <w:t xml:space="preserve"> Zavizion</w:t>
      </w:r>
      <w:r>
        <w:rPr>
          <w:rFonts w:ascii="Times New Roman" w:hAnsi="Times New Roman"/>
          <w:sz w:val="20"/>
          <w:szCs w:val="20"/>
          <w:u w:color="000000"/>
          <w:vertAlign w:val="superscript"/>
          <w:rtl w:val="0"/>
          <w:lang w:val="en-US"/>
        </w:rPr>
        <w:t>1</w:t>
      </w:r>
      <w:r>
        <w:rPr>
          <w:rFonts w:ascii="Times New Roman" w:hAnsi="Times New Roman"/>
          <w:b w:val="1"/>
          <w:bCs w:val="1"/>
          <w:color w:val="000000"/>
          <w:spacing w:val="3"/>
          <w:kern w:val="2"/>
          <w:sz w:val="22"/>
          <w:szCs w:val="22"/>
          <w:u w:color="000000"/>
          <w:rtl w:val="0"/>
          <w:lang w:val="en-US"/>
        </w:rPr>
        <w:t>,Hojouj Tamara</w:t>
      </w:r>
      <w:r>
        <w:rPr>
          <w:rFonts w:ascii="Times New Roman" w:hAnsi="Times New Roman"/>
          <w:sz w:val="20"/>
          <w:szCs w:val="20"/>
          <w:u w:color="000000"/>
          <w:vertAlign w:val="superscript"/>
          <w:rtl w:val="0"/>
          <w:lang w:val="en-US"/>
        </w:rPr>
        <w:t>1</w:t>
      </w:r>
      <w:r>
        <w:rPr>
          <w:rFonts w:ascii="Times New Roman" w:hAnsi="Times New Roman"/>
          <w:b w:val="1"/>
          <w:bCs w:val="1"/>
          <w:color w:val="000000"/>
          <w:spacing w:val="3"/>
          <w:kern w:val="2"/>
          <w:sz w:val="22"/>
          <w:szCs w:val="22"/>
          <w:u w:color="000000"/>
          <w:rtl w:val="0"/>
          <w:lang w:val="en-US"/>
        </w:rPr>
        <w:t>,</w:t>
      </w:r>
    </w:p>
    <w:p>
      <w:pPr>
        <w:pStyle w:val="Текст 3"/>
        <w:bidi w:val="0"/>
        <w:ind w:left="0" w:right="0" w:firstLine="0"/>
        <w:jc w:val="right"/>
        <w:rPr>
          <w:rFonts w:ascii="Times New Roman" w:cs="Times New Roman" w:hAnsi="Times New Roman" w:eastAsia="Times New Roman"/>
          <w:b w:val="1"/>
          <w:bCs w:val="1"/>
          <w:sz w:val="36"/>
          <w:szCs w:val="36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36"/>
          <w:szCs w:val="36"/>
          <w:u w:color="000000"/>
          <w:rtl w:val="0"/>
          <w:lang w:val="en-US"/>
        </w:rPr>
        <w:t>L-Carnitine</w:t>
      </w:r>
      <w:r>
        <w:rPr>
          <w:rFonts w:ascii="Times New Roman" w:hAnsi="Times New Roman"/>
          <w:b w:val="1"/>
          <w:bCs w:val="1"/>
          <w:sz w:val="36"/>
          <w:szCs w:val="36"/>
          <w:u w:color="000000"/>
          <w:rtl w:val="0"/>
          <w:lang w:val="en-US"/>
        </w:rPr>
        <w:t xml:space="preserve"> in neoadjuvant systemic treatment in breast cancer patients with metabolic syndrome</w:t>
      </w:r>
    </w:p>
    <w:p>
      <w:pPr>
        <w:pStyle w:val="Текст 3"/>
        <w:bidi w:val="0"/>
        <w:ind w:left="0" w:right="0" w:firstLine="0"/>
        <w:jc w:val="right"/>
        <w:rPr>
          <w:rFonts w:ascii="Helvetica" w:cs="Helvetica" w:hAnsi="Helvetica" w:eastAsia="Helvetica"/>
          <w:color w:val="000000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sz w:val="24"/>
          <w:szCs w:val="24"/>
          <w:u w:color="000000"/>
          <w:vertAlign w:val="superscript"/>
          <w:rtl w:val="0"/>
          <w:lang w:val="en-US"/>
        </w:rPr>
        <w:t>1</w:t>
      </w:r>
      <w:r>
        <w:rPr>
          <w:rFonts w:ascii="Times New Roman" w:hAnsi="Times New Roman"/>
          <w:i w:val="1"/>
          <w:iCs w:val="1"/>
          <w:color w:val="000000"/>
          <w:sz w:val="20"/>
          <w:szCs w:val="20"/>
          <w:u w:color="000000"/>
          <w:rtl w:val="0"/>
          <w:lang w:val="en-US"/>
        </w:rPr>
        <w:t>SE "Dnipropetrovsk medical academy of Health Ministry of Ukraine"</w:t>
      </w:r>
    </w:p>
    <w:p>
      <w:pPr>
        <w:pStyle w:val="Текст 3"/>
        <w:bidi w:val="0"/>
        <w:ind w:left="0" w:right="0" w:firstLine="0"/>
        <w:jc w:val="right"/>
        <w:rPr>
          <w:rFonts w:ascii="Helvetica" w:cs="Helvetica" w:hAnsi="Helvetica" w:eastAsia="Helvetica"/>
          <w:color w:val="000000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i w:val="1"/>
          <w:iCs w:val="1"/>
          <w:color w:val="000000"/>
          <w:sz w:val="20"/>
          <w:szCs w:val="20"/>
          <w:u w:color="000000"/>
          <w:rtl w:val="0"/>
          <w:lang w:val="en-US"/>
        </w:rPr>
        <w:t>Department of oncology and medical radiology</w:t>
      </w:r>
    </w:p>
    <w:p>
      <w:pPr>
        <w:pStyle w:val="Текст 3"/>
        <w:bidi w:val="0"/>
        <w:ind w:left="0" w:right="0" w:firstLine="0"/>
        <w:jc w:val="right"/>
        <w:rPr>
          <w:rFonts w:ascii="Times New Roman" w:cs="Times New Roman" w:hAnsi="Times New Roman" w:eastAsia="Times New Roman"/>
          <w:i w:val="1"/>
          <w:iCs w:val="1"/>
          <w:sz w:val="20"/>
          <w:szCs w:val="20"/>
          <w:u w:color="000000"/>
          <w:rtl w:val="0"/>
          <w:lang w:val="en-US"/>
        </w:rPr>
      </w:pPr>
      <w:r>
        <w:rPr>
          <w:rFonts w:ascii="Times New Roman" w:hAnsi="Times New Roman"/>
          <w:i w:val="1"/>
          <w:iCs w:val="1"/>
          <w:sz w:val="20"/>
          <w:szCs w:val="20"/>
          <w:u w:color="000000"/>
          <w:rtl w:val="0"/>
          <w:lang w:val="en-US"/>
        </w:rPr>
        <w:t>Volodymyr Vernadskii str., 9, Dnipro, 49044, Ukraine</w:t>
      </w:r>
    </w:p>
    <w:p>
      <w:pPr>
        <w:pStyle w:val="Текст 3"/>
        <w:bidi w:val="0"/>
        <w:ind w:left="0" w:right="0" w:firstLine="0"/>
        <w:jc w:val="right"/>
        <w:rPr>
          <w:rFonts w:ascii="Helvetica" w:cs="Helvetica" w:hAnsi="Helvetica" w:eastAsia="Helvetica"/>
          <w:color w:val="000000"/>
          <w:sz w:val="24"/>
          <w:szCs w:val="24"/>
          <w:u w:color="000000"/>
          <w:rtl w:val="0"/>
          <w:lang w:val="en-US"/>
        </w:rPr>
      </w:pPr>
      <w:r>
        <w:rPr>
          <w:rFonts w:ascii="Helvetica" w:hAnsi="Helvetica"/>
          <w:i w:val="1"/>
          <w:iCs w:val="1"/>
          <w:color w:val="000000"/>
          <w:sz w:val="20"/>
          <w:szCs w:val="20"/>
          <w:u w:color="000000"/>
          <w:rtl w:val="0"/>
          <w:lang w:val="en-US"/>
        </w:rPr>
        <w:t>Hojouj@yahoo.com</w:t>
      </w:r>
    </w:p>
    <w:p>
      <w:pPr>
        <w:pStyle w:val="Текст 3"/>
        <w:shd w:val="clear" w:color="auto" w:fill="ffffff"/>
        <w:bidi w:val="0"/>
        <w:spacing w:line="270" w:lineRule="atLeast"/>
        <w:ind w:left="0" w:right="60" w:firstLine="0"/>
        <w:jc w:val="left"/>
        <w:outlineLvl w:val="3"/>
        <w:rPr>
          <w:rFonts w:ascii="Helvetica" w:cs="Helvetica" w:hAnsi="Helvetica" w:eastAsia="Helvetica"/>
          <w:color w:val="000000"/>
          <w:sz w:val="24"/>
          <w:szCs w:val="24"/>
          <w:u w:color="000000"/>
          <w:rtl w:val="0"/>
          <w:lang w:val="en-US"/>
        </w:rPr>
      </w:pPr>
    </w:p>
    <w:p>
      <w:pPr>
        <w:pStyle w:val="Текст 3"/>
        <w:shd w:val="clear" w:color="auto" w:fill="ffffff"/>
        <w:bidi w:val="0"/>
        <w:spacing w:line="270" w:lineRule="atLeast"/>
        <w:ind w:left="0" w:right="60" w:firstLine="0"/>
        <w:jc w:val="left"/>
        <w:outlineLvl w:val="3"/>
        <w:rPr>
          <w:rFonts w:ascii="Arial" w:cs="Arial" w:hAnsi="Arial" w:eastAsia="Arial"/>
          <w:b w:val="1"/>
          <w:bCs w:val="1"/>
          <w:caps w:val="1"/>
          <w:color w:val="000000"/>
          <w:sz w:val="22"/>
          <w:szCs w:val="22"/>
          <w:u w:color="000000"/>
          <w:rtl w:val="0"/>
          <w:lang w:val="en-US"/>
        </w:rPr>
      </w:pPr>
      <w:r>
        <w:rPr>
          <w:rFonts w:ascii="Arial" w:hAnsi="Arial"/>
          <w:b w:val="1"/>
          <w:bCs w:val="1"/>
          <w:caps w:val="1"/>
          <w:color w:val="000000"/>
          <w:sz w:val="22"/>
          <w:szCs w:val="22"/>
          <w:u w:color="000000"/>
          <w:rtl w:val="0"/>
          <w:lang w:val="en-US"/>
        </w:rPr>
        <w:t>BACKGROUND:</w:t>
      </w:r>
    </w:p>
    <w:p>
      <w:pPr>
        <w:pStyle w:val="Текст 3"/>
        <w:keepLines w:val="1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The incidence of breast cancer in the world in general and in Ukraine in particular is growing. In 2017, in Ukraine the incidence reached 16 percent of female population</w:t>
      </w:r>
      <w:r>
        <w:rPr>
          <w:rFonts w:ascii="Times New Roman" w:hAnsi="Times New Roman"/>
          <w:sz w:val="26"/>
          <w:szCs w:val="26"/>
          <w:rtl w:val="0"/>
          <w:lang w:val="en-US"/>
        </w:rPr>
        <w:t>.</w:t>
      </w:r>
    </w:p>
    <w:p>
      <w:pPr>
        <w:pStyle w:val="Текст 3"/>
        <w:keepLines w:val="1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According to the M</w:t>
      </w:r>
      <w:r>
        <w:rPr>
          <w:rFonts w:ascii="Times New Roman" w:hAnsi="Times New Roman"/>
          <w:sz w:val="26"/>
          <w:szCs w:val="26"/>
          <w:rtl w:val="0"/>
          <w:lang w:val="en-US"/>
        </w:rPr>
        <w:t>O</w:t>
      </w:r>
      <w:r>
        <w:rPr>
          <w:rFonts w:ascii="Times New Roman" w:hAnsi="Times New Roman"/>
          <w:sz w:val="26"/>
          <w:szCs w:val="26"/>
          <w:rtl w:val="0"/>
          <w:lang w:val="en-US"/>
        </w:rPr>
        <w:t>H in Ukraine 26% of the female population for 2017 was overweight or obese. There is a strong biologic basis for an association of obesity with poor breast cancer outcomes. Obesity - a chronic metabolic character, which is the result of the interaction of the endogenous factors, environmental conditions and lifestyle. Endogenous factors could be considered a violation of the genetic and hormonal balance. The external conditions include irregular rhythm nutrition, use of substandard products. The aim of this prospective randomized trial was investigate the influence of L-Carnitine on the effectiveness of neoadjuvant systemic anticancer therapy (NAST) breast cancer in patients with metabolic syndrome (MS).</w:t>
      </w:r>
    </w:p>
    <w:p>
      <w:pPr>
        <w:pStyle w:val="Текст 3"/>
        <w:keepLines w:val="1"/>
        <w:spacing w:line="260" w:lineRule="atLeast"/>
        <w:jc w:val="both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Текст 3"/>
        <w:keepLines w:val="1"/>
        <w:spacing w:line="260" w:lineRule="atLeast"/>
        <w:jc w:val="both"/>
        <w:rPr>
          <w:rFonts w:ascii="Times New Roman" w:cs="Times New Roman" w:hAnsi="Times New Roman" w:eastAsia="Times New Roman"/>
          <w:sz w:val="26"/>
          <w:szCs w:val="26"/>
          <w:u w:color="000000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Methods: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 The study included </w:t>
      </w:r>
      <w:r>
        <w:rPr>
          <w:rFonts w:ascii="Times New Roman" w:hAnsi="Times New Roman"/>
          <w:sz w:val="26"/>
          <w:szCs w:val="26"/>
          <w:rtl w:val="0"/>
          <w:lang w:val="en-US"/>
        </w:rPr>
        <w:t>64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 patients (aged 4</w:t>
      </w:r>
      <w:r>
        <w:rPr>
          <w:rFonts w:ascii="Times New Roman" w:hAnsi="Times New Roman"/>
          <w:sz w:val="26"/>
          <w:szCs w:val="26"/>
          <w:rtl w:val="0"/>
          <w:lang w:val="en-US"/>
        </w:rPr>
        <w:t>4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 to 7</w:t>
      </w:r>
      <w:r>
        <w:rPr>
          <w:rFonts w:ascii="Times New Roman" w:hAnsi="Times New Roman"/>
          <w:sz w:val="26"/>
          <w:szCs w:val="26"/>
          <w:rtl w:val="0"/>
          <w:lang w:val="en-US"/>
        </w:rPr>
        <w:t>8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 years) who received neoadjuvant systemic treatment for stage II-III breast 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cancer, in 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Dnipropetrovsk medical academy at Municipal Institution "Dnipropetrovsk City Multi-field Clinical Hospital #4", Dnepropetrovsk state medical academy from 20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16</w:t>
      </w:r>
      <w:r>
        <w:rPr>
          <w:rFonts w:ascii="Times New Roman" w:hAnsi="Times New Roman"/>
          <w:sz w:val="26"/>
          <w:szCs w:val="26"/>
          <w:u w:color="000000"/>
          <w:rtl w:val="0"/>
        </w:rPr>
        <w:t>-201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7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 All patients were evaluated according to the following data: stage of the disease, age and BMI at the time of diagnosis, the size, histological type and metastases. IHC type ,MRI methods, Bioelectrical impedance analysis, Ultrasounds analysis.</w:t>
      </w:r>
    </w:p>
    <w:p>
      <w:pPr>
        <w:pStyle w:val="Текст 3"/>
        <w:keepLines w:val="1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 xml:space="preserve">All patients was diagnosed MS according to the IDF criteria and were compared by 2 groups group 1 included </w:t>
      </w:r>
      <w:r>
        <w:rPr>
          <w:rFonts w:ascii="Times New Roman" w:hAnsi="Times New Roman"/>
          <w:sz w:val="26"/>
          <w:szCs w:val="26"/>
          <w:rtl w:val="0"/>
          <w:lang w:val="en-US"/>
        </w:rPr>
        <w:t>43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 patients with MS and BC who did not take L-Carnitine during NAST, and group 2 - </w:t>
      </w:r>
      <w:r>
        <w:rPr>
          <w:rFonts w:ascii="Times New Roman" w:hAnsi="Times New Roman"/>
          <w:sz w:val="26"/>
          <w:szCs w:val="26"/>
          <w:rtl w:val="0"/>
          <w:lang w:val="en-US"/>
        </w:rPr>
        <w:t>21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 metabolic syndrome patients with breast cancer taking L-Carnitine with NAST. Clinical and pathological response rates were compared between the two groups using the fourfold tables analysis method.</w:t>
      </w:r>
    </w:p>
    <w:p>
      <w:pPr>
        <w:pStyle w:val="Текст 3"/>
        <w:keepLines w:val="1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Текст 3"/>
        <w:keepLines w:val="1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Results: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 Clinical complete response (CR) was identified in 6%patients from group 1 and in 28% patients from group 2. Clinical benefit response of treatment (CR + PR) was achieved in 6</w:t>
      </w:r>
      <w:r>
        <w:rPr>
          <w:rFonts w:ascii="Times New Roman" w:hAnsi="Times New Roman"/>
          <w:sz w:val="26"/>
          <w:szCs w:val="26"/>
          <w:rtl w:val="0"/>
          <w:lang w:val="en-US"/>
        </w:rPr>
        <w:t>8</w:t>
      </w:r>
      <w:r>
        <w:rPr>
          <w:rFonts w:ascii="Times New Roman" w:hAnsi="Times New Roman"/>
          <w:sz w:val="26"/>
          <w:szCs w:val="26"/>
          <w:rtl w:val="0"/>
          <w:lang w:val="en-US"/>
        </w:rPr>
        <w:t>% of patients treated with L-Carnitine compared to 25% patients from group 1. In 53% of patients who were not taking metformin was observed stabile disease (SD). The rate of pathological complete response (pCR) was 3</w:t>
      </w:r>
      <w:r>
        <w:rPr>
          <w:rFonts w:ascii="Times New Roman" w:hAnsi="Times New Roman"/>
          <w:sz w:val="26"/>
          <w:szCs w:val="26"/>
          <w:rtl w:val="0"/>
          <w:lang w:val="en-US"/>
        </w:rPr>
        <w:t>0</w:t>
      </w:r>
      <w:r>
        <w:rPr>
          <w:rFonts w:ascii="Times New Roman" w:hAnsi="Times New Roman"/>
          <w:sz w:val="26"/>
          <w:szCs w:val="26"/>
          <w:rtl w:val="0"/>
          <w:lang w:val="en-US"/>
        </w:rPr>
        <w:t>% in the L-Carnitine group and 6% in the nonmetformin group.</w:t>
      </w:r>
    </w:p>
    <w:p>
      <w:pPr>
        <w:pStyle w:val="Текст 3"/>
        <w:keepLines w:val="1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Текст 3"/>
        <w:keepLines w:val="1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  <w:lang w:val="fr-FR"/>
        </w:rPr>
        <w:t>Conclusions: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 Appointment L-Carnitine and neoadjuvant systemic anticancer therapy breast cancer patients with metabolic syndrome have a higher clinical and pathological CR rate and clinical benefit response of treatment than BC patient with MS not receiving L-Carnitine. This study demonstrated the potential of L-Carnitine as an antitumor agent in breast cancer patients with metabolic syndrome.</w:t>
      </w:r>
    </w:p>
    <w:p>
      <w:pPr>
        <w:pStyle w:val="Текст 3"/>
        <w:jc w:val="both"/>
      </w:pPr>
      <w:r>
        <w:rPr>
          <w:sz w:val="26"/>
          <w:szCs w:val="26"/>
          <w:rtl w:val="0"/>
          <w:lang w:val="en-US"/>
        </w:rPr>
        <w:t xml:space="preserve">Legal entity responsible for the study: </w:t>
      </w:r>
      <w:r>
        <w:rPr>
          <w:rFonts w:ascii="Times New Roman" w:hAnsi="Times New Roman"/>
          <w:spacing w:val="3"/>
          <w:kern w:val="2"/>
          <w:sz w:val="26"/>
          <w:szCs w:val="26"/>
          <w:u w:val="single" w:color="000000"/>
          <w:rtl w:val="0"/>
          <w:lang w:val="en-US"/>
        </w:rPr>
        <w:t>Hojouj Mohammad I M</w:t>
      </w:r>
      <w:r>
        <w:rPr>
          <w:rFonts w:ascii="Times New Roman" w:hAnsi="Times New Roman"/>
          <w:spacing w:val="3"/>
          <w:kern w:val="2"/>
          <w:sz w:val="26"/>
          <w:szCs w:val="26"/>
          <w:u w:color="000000"/>
          <w:rtl w:val="0"/>
        </w:rPr>
        <w:t>,</w:t>
      </w:r>
    </w:p>
    <w:sectPr>
      <w:headerReference w:type="default" r:id="rId4"/>
      <w:footerReference w:type="default" r:id="rId5"/>
      <w:pgSz w:w="11900" w:h="16840" w:orient="portrait"/>
      <w:pgMar w:top="1440" w:right="720" w:bottom="1440" w:left="720" w:header="720" w:footer="108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Текст 3">
    <w:name w:val="Текст 3"/>
    <w:next w:val="Текст 3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00_ResearchPaper">
  <a:themeElements>
    <a:clrScheme name="00_ResearchPaper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00_ResearchPaper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00_ResearchPape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