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004" w:rsidRPr="00943004" w:rsidRDefault="00943004" w:rsidP="00943004">
      <w:pPr>
        <w:spacing w:after="0" w:line="259" w:lineRule="auto"/>
        <w:jc w:val="center"/>
        <w:rPr>
          <w:rFonts w:ascii="Times New Roman" w:eastAsia="Times New Roman" w:hAnsi="Times New Roman" w:cs="Times New Roman"/>
          <w:b/>
          <w:sz w:val="24"/>
        </w:rPr>
      </w:pPr>
      <w:r w:rsidRPr="00943004">
        <w:rPr>
          <w:rFonts w:ascii="Times New Roman" w:eastAsia="Times New Roman" w:hAnsi="Times New Roman" w:cs="Times New Roman"/>
          <w:b/>
          <w:sz w:val="24"/>
        </w:rPr>
        <w:t>Inflectra-Our Experience on Immunogenicity</w:t>
      </w:r>
      <w:r w:rsidR="0080436C">
        <w:rPr>
          <w:rFonts w:ascii="Times New Roman" w:eastAsia="Times New Roman" w:hAnsi="Times New Roman" w:cs="Times New Roman"/>
          <w:b/>
          <w:sz w:val="24"/>
        </w:rPr>
        <w:t xml:space="preserve"> </w:t>
      </w:r>
      <w:r w:rsidRPr="00943004">
        <w:rPr>
          <w:rFonts w:ascii="Times New Roman" w:eastAsia="Times New Roman" w:hAnsi="Times New Roman" w:cs="Times New Roman"/>
          <w:b/>
          <w:sz w:val="24"/>
        </w:rPr>
        <w:t>(Case Series)</w:t>
      </w:r>
    </w:p>
    <w:p w:rsidR="00943004" w:rsidRDefault="00943004" w:rsidP="00943004">
      <w:pPr>
        <w:spacing w:after="0" w:line="259" w:lineRule="auto"/>
        <w:jc w:val="center"/>
        <w:rPr>
          <w:rFonts w:ascii="Times New Roman" w:eastAsia="Times New Roman" w:hAnsi="Times New Roman" w:cs="Times New Roman"/>
          <w:sz w:val="24"/>
        </w:rPr>
      </w:pPr>
      <w:r>
        <w:rPr>
          <w:rFonts w:ascii="Times New Roman" w:eastAsia="Times New Roman" w:hAnsi="Times New Roman" w:cs="Times New Roman"/>
          <w:sz w:val="24"/>
        </w:rPr>
        <w:t>Rodica Olteanu, Alexandra Zota</w:t>
      </w:r>
      <w:r w:rsidR="0080436C">
        <w:rPr>
          <w:rFonts w:ascii="Times New Roman" w:eastAsia="Times New Roman" w:hAnsi="Times New Roman" w:cs="Times New Roman"/>
          <w:sz w:val="24"/>
        </w:rPr>
        <w:t>, Magda Constantin</w:t>
      </w:r>
    </w:p>
    <w:p w:rsidR="00943004" w:rsidRDefault="00943004" w:rsidP="00943004">
      <w:pPr>
        <w:spacing w:after="0" w:line="259" w:lineRule="auto"/>
        <w:jc w:val="center"/>
        <w:rPr>
          <w:rFonts w:ascii="Times New Roman" w:eastAsia="Times New Roman" w:hAnsi="Times New Roman" w:cs="Times New Roman"/>
          <w:sz w:val="24"/>
        </w:rPr>
      </w:pPr>
      <w:r>
        <w:rPr>
          <w:rFonts w:ascii="Times New Roman" w:eastAsia="Times New Roman" w:hAnsi="Times New Roman" w:cs="Times New Roman"/>
          <w:sz w:val="24"/>
        </w:rPr>
        <w:t>Colentina Clinical Hospital, Dermatology</w:t>
      </w:r>
    </w:p>
    <w:p w:rsidR="00943004" w:rsidRDefault="00943004" w:rsidP="00943004">
      <w:pPr>
        <w:spacing w:after="0" w:line="259" w:lineRule="auto"/>
        <w:jc w:val="center"/>
        <w:rPr>
          <w:rFonts w:ascii="Times New Roman" w:eastAsia="Times New Roman" w:hAnsi="Times New Roman" w:cs="Times New Roman"/>
          <w:sz w:val="24"/>
        </w:rPr>
      </w:pPr>
      <w:r>
        <w:rPr>
          <w:rFonts w:ascii="Times New Roman" w:eastAsia="Times New Roman" w:hAnsi="Times New Roman" w:cs="Times New Roman"/>
          <w:sz w:val="24"/>
        </w:rPr>
        <w:t>Bucharest, Romania</w:t>
      </w:r>
    </w:p>
    <w:p w:rsidR="00943004" w:rsidRDefault="00943004" w:rsidP="00943004">
      <w:pPr>
        <w:spacing w:after="0" w:line="259" w:lineRule="auto"/>
        <w:jc w:val="center"/>
        <w:rPr>
          <w:rFonts w:ascii="Times New Roman" w:eastAsia="Times New Roman" w:hAnsi="Times New Roman" w:cs="Times New Roman"/>
          <w:sz w:val="24"/>
        </w:rPr>
      </w:pPr>
    </w:p>
    <w:p w:rsidR="00943004" w:rsidRDefault="00943004" w:rsidP="00943004">
      <w:pPr>
        <w:spacing w:after="0" w:line="259" w:lineRule="auto"/>
        <w:jc w:val="center"/>
        <w:rPr>
          <w:rFonts w:ascii="Times New Roman" w:eastAsia="Times New Roman" w:hAnsi="Times New Roman" w:cs="Times New Roman"/>
          <w:sz w:val="24"/>
        </w:rPr>
      </w:pPr>
    </w:p>
    <w:p w:rsidR="00943004" w:rsidRDefault="00943004"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Olte</w:t>
      </w:r>
      <w:r w:rsidR="0080436C">
        <w:rPr>
          <w:rFonts w:ascii="Times New Roman" w:eastAsia="Times New Roman" w:hAnsi="Times New Roman" w:cs="Times New Roman"/>
          <w:sz w:val="24"/>
        </w:rPr>
        <w:t>anu Rodica MD, PhD</w:t>
      </w:r>
    </w:p>
    <w:p w:rsidR="00943004" w:rsidRDefault="00943004" w:rsidP="00765453">
      <w:pPr>
        <w:spacing w:after="0" w:line="259" w:lineRule="auto"/>
        <w:rPr>
          <w:rFonts w:ascii="Times New Roman" w:eastAsia="Times New Roman" w:hAnsi="Times New Roman" w:cs="Times New Roman"/>
          <w:sz w:val="24"/>
        </w:rPr>
      </w:pPr>
      <w:hyperlink r:id="rId4" w:history="1">
        <w:r w:rsidRPr="00EE206C">
          <w:rPr>
            <w:rStyle w:val="Hyperlink"/>
            <w:rFonts w:ascii="Times New Roman" w:eastAsia="Times New Roman" w:hAnsi="Times New Roman" w:cs="Times New Roman"/>
            <w:sz w:val="24"/>
          </w:rPr>
          <w:t>rodicaolteanu@hotmail.com</w:t>
        </w:r>
      </w:hyperlink>
    </w:p>
    <w:p w:rsidR="00943004" w:rsidRDefault="00943004"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poster</w:t>
      </w:r>
    </w:p>
    <w:p w:rsidR="0080436C" w:rsidRDefault="0080436C"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Current Challenges of Biologics</w:t>
      </w:r>
    </w:p>
    <w:p w:rsidR="0080436C" w:rsidRDefault="0080436C" w:rsidP="00765453">
      <w:pPr>
        <w:spacing w:after="0" w:line="259" w:lineRule="auto"/>
        <w:rPr>
          <w:rFonts w:ascii="Times New Roman" w:eastAsia="Times New Roman" w:hAnsi="Times New Roman" w:cs="Times New Roman"/>
          <w:sz w:val="24"/>
        </w:rPr>
      </w:pPr>
    </w:p>
    <w:p w:rsidR="0080436C" w:rsidRDefault="0080436C"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Dermatology Clinic, </w:t>
      </w:r>
    </w:p>
    <w:p w:rsidR="0080436C" w:rsidRDefault="0080436C"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Colentina Clinical Hospital,</w:t>
      </w:r>
    </w:p>
    <w:p w:rsidR="0080436C" w:rsidRDefault="0080436C"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19-21 Stefan cel Mare</w:t>
      </w:r>
    </w:p>
    <w:p w:rsidR="0080436C" w:rsidRDefault="0080436C"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Bucharest, Romania</w:t>
      </w:r>
    </w:p>
    <w:p w:rsidR="00943004" w:rsidRDefault="00943004" w:rsidP="00765453">
      <w:pPr>
        <w:spacing w:after="0" w:line="259" w:lineRule="auto"/>
        <w:rPr>
          <w:rFonts w:ascii="Times New Roman" w:eastAsia="Times New Roman" w:hAnsi="Times New Roman" w:cs="Times New Roman"/>
          <w:sz w:val="24"/>
        </w:rPr>
      </w:pPr>
    </w:p>
    <w:p w:rsidR="00943004" w:rsidRDefault="00943004" w:rsidP="00765453">
      <w:pPr>
        <w:spacing w:after="0" w:line="259" w:lineRule="auto"/>
        <w:rPr>
          <w:rFonts w:ascii="Times New Roman" w:eastAsia="Times New Roman" w:hAnsi="Times New Roman" w:cs="Times New Roman"/>
          <w:sz w:val="24"/>
        </w:rPr>
      </w:pPr>
    </w:p>
    <w:p w:rsidR="00943004" w:rsidRDefault="00943004" w:rsidP="00765453">
      <w:pPr>
        <w:spacing w:after="0" w:line="259" w:lineRule="auto"/>
        <w:rPr>
          <w:rFonts w:ascii="Times New Roman" w:eastAsia="Times New Roman" w:hAnsi="Times New Roman" w:cs="Times New Roman"/>
          <w:sz w:val="24"/>
        </w:rPr>
      </w:pPr>
    </w:p>
    <w:p w:rsidR="00943004" w:rsidRDefault="00943004" w:rsidP="00765453">
      <w:pPr>
        <w:spacing w:after="0" w:line="259" w:lineRule="auto"/>
        <w:rPr>
          <w:rFonts w:ascii="Times New Roman" w:eastAsia="Times New Roman" w:hAnsi="Times New Roman" w:cs="Times New Roman"/>
          <w:sz w:val="24"/>
        </w:rPr>
      </w:pPr>
    </w:p>
    <w:p w:rsidR="00943004" w:rsidRDefault="00943004" w:rsidP="00765453">
      <w:pPr>
        <w:spacing w:after="0" w:line="259" w:lineRule="auto"/>
        <w:rPr>
          <w:rFonts w:ascii="Times New Roman" w:eastAsia="Times New Roman" w:hAnsi="Times New Roman" w:cs="Times New Roman"/>
          <w:sz w:val="24"/>
        </w:rPr>
      </w:pPr>
    </w:p>
    <w:p w:rsidR="00943004" w:rsidRDefault="00943004" w:rsidP="00765453">
      <w:pPr>
        <w:spacing w:after="0" w:line="259" w:lineRule="auto"/>
        <w:rPr>
          <w:rFonts w:ascii="Times New Roman" w:eastAsia="Times New Roman" w:hAnsi="Times New Roman" w:cs="Times New Roman"/>
          <w:sz w:val="24"/>
        </w:rPr>
      </w:pPr>
    </w:p>
    <w:p w:rsidR="00765453" w:rsidRDefault="00765453"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Biosimilars represent a new tendency in the treatment of many immune-mediated inflammatory diseases, including psoriasis. Regulatory requirements for approval of biosimilars are different from those of originators and rely mostly upon the evidence generated from bioequivalence studies and in particular from RCT, as an important part of it. </w:t>
      </w:r>
    </w:p>
    <w:p w:rsidR="00765453" w:rsidRDefault="00765453"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In our study</w:t>
      </w:r>
      <w:r w:rsidR="0080436C">
        <w:rPr>
          <w:rFonts w:ascii="Times New Roman" w:eastAsia="Times New Roman" w:hAnsi="Times New Roman" w:cs="Times New Roman"/>
          <w:sz w:val="24"/>
        </w:rPr>
        <w:t>, case series,</w:t>
      </w:r>
      <w:r>
        <w:rPr>
          <w:rFonts w:ascii="Times New Roman" w:eastAsia="Times New Roman" w:hAnsi="Times New Roman" w:cs="Times New Roman"/>
          <w:sz w:val="24"/>
        </w:rPr>
        <w:t xml:space="preserve"> we tried to correlate the immunogenicity (measured with ELISA method:</w:t>
      </w:r>
      <w:r w:rsidR="00E7242F">
        <w:rPr>
          <w:rFonts w:ascii="Times New Roman" w:eastAsia="Times New Roman" w:hAnsi="Times New Roman" w:cs="Times New Roman"/>
          <w:sz w:val="24"/>
        </w:rPr>
        <w:t xml:space="preserve"> </w:t>
      </w:r>
      <w:r>
        <w:rPr>
          <w:rFonts w:ascii="Times New Roman" w:eastAsia="Times New Roman" w:hAnsi="Times New Roman" w:cs="Times New Roman"/>
          <w:sz w:val="24"/>
        </w:rPr>
        <w:t>antidrug antibodies and drug level) on 8 patients on Inflectra (Infliximab biosimil</w:t>
      </w:r>
      <w:r w:rsidR="00E7242F">
        <w:rPr>
          <w:rFonts w:ascii="Times New Roman" w:eastAsia="Times New Roman" w:hAnsi="Times New Roman" w:cs="Times New Roman"/>
          <w:sz w:val="24"/>
        </w:rPr>
        <w:t>ar), treated more th</w:t>
      </w:r>
      <w:r w:rsidR="0080436C">
        <w:rPr>
          <w:rFonts w:ascii="Times New Roman" w:eastAsia="Times New Roman" w:hAnsi="Times New Roman" w:cs="Times New Roman"/>
          <w:sz w:val="24"/>
        </w:rPr>
        <w:t>an 8 months in our D</w:t>
      </w:r>
      <w:r w:rsidR="00E7242F">
        <w:rPr>
          <w:rFonts w:ascii="Times New Roman" w:eastAsia="Times New Roman" w:hAnsi="Times New Roman" w:cs="Times New Roman"/>
          <w:sz w:val="24"/>
        </w:rPr>
        <w:t>ermatology</w:t>
      </w:r>
      <w:r w:rsidR="0080436C">
        <w:rPr>
          <w:rFonts w:ascii="Times New Roman" w:eastAsia="Times New Roman" w:hAnsi="Times New Roman" w:cs="Times New Roman"/>
          <w:sz w:val="24"/>
        </w:rPr>
        <w:t xml:space="preserve"> C</w:t>
      </w:r>
      <w:r w:rsidR="00E7242F">
        <w:rPr>
          <w:rFonts w:ascii="Times New Roman" w:eastAsia="Times New Roman" w:hAnsi="Times New Roman" w:cs="Times New Roman"/>
          <w:sz w:val="24"/>
        </w:rPr>
        <w:t xml:space="preserve">linic. </w:t>
      </w:r>
      <w:r>
        <w:rPr>
          <w:rFonts w:ascii="Times New Roman" w:eastAsia="Times New Roman" w:hAnsi="Times New Roman" w:cs="Times New Roman"/>
          <w:sz w:val="24"/>
        </w:rPr>
        <w:t>Our goal was to determine the evolution of the inflammatory markers (ESR, PCR) together with the evolution of PASI, PASI50 and PASI 90 on a case series of 8</w:t>
      </w:r>
      <w:r w:rsidR="00E7242F">
        <w:rPr>
          <w:rFonts w:ascii="Times New Roman" w:eastAsia="Times New Roman" w:hAnsi="Times New Roman" w:cs="Times New Roman"/>
          <w:sz w:val="24"/>
        </w:rPr>
        <w:t xml:space="preserve"> patients for 8 month. We </w:t>
      </w:r>
      <w:r>
        <w:rPr>
          <w:rFonts w:ascii="Times New Roman" w:eastAsia="Times New Roman" w:hAnsi="Times New Roman" w:cs="Times New Roman"/>
          <w:sz w:val="24"/>
        </w:rPr>
        <w:t xml:space="preserve">were </w:t>
      </w:r>
      <w:r w:rsidR="00E7242F">
        <w:rPr>
          <w:rFonts w:ascii="Times New Roman" w:eastAsia="Times New Roman" w:hAnsi="Times New Roman" w:cs="Times New Roman"/>
          <w:sz w:val="24"/>
        </w:rPr>
        <w:t xml:space="preserve">also </w:t>
      </w:r>
      <w:r>
        <w:rPr>
          <w:rFonts w:ascii="Times New Roman" w:eastAsia="Times New Roman" w:hAnsi="Times New Roman" w:cs="Times New Roman"/>
          <w:sz w:val="24"/>
        </w:rPr>
        <w:t>capable to evaluate</w:t>
      </w:r>
      <w:r w:rsidR="00E7242F">
        <w:rPr>
          <w:rFonts w:ascii="Times New Roman" w:eastAsia="Times New Roman" w:hAnsi="Times New Roman" w:cs="Times New Roman"/>
          <w:sz w:val="24"/>
        </w:rPr>
        <w:t xml:space="preserve"> the possible correlations between these indices and immunogenicity.</w:t>
      </w:r>
    </w:p>
    <w:p w:rsidR="00943004" w:rsidRDefault="00E7242F"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We found an interesting fact that from these 8 patients 2 had sub-therapeutically drug level but not anti Infliximab antibodies. One of these</w:t>
      </w:r>
      <w:r w:rsidR="001E62B2">
        <w:rPr>
          <w:rFonts w:ascii="Times New Roman" w:eastAsia="Times New Roman" w:hAnsi="Times New Roman" w:cs="Times New Roman"/>
          <w:sz w:val="24"/>
        </w:rPr>
        <w:t xml:space="preserve"> 2</w:t>
      </w:r>
      <w:r>
        <w:rPr>
          <w:rFonts w:ascii="Times New Roman" w:eastAsia="Times New Roman" w:hAnsi="Times New Roman" w:cs="Times New Roman"/>
          <w:sz w:val="24"/>
        </w:rPr>
        <w:t xml:space="preserve"> patients had also elevated inflammatory markers and the other one has gained more than 10 kgs. Peculiar is also the finding that the third patient developed anti</w:t>
      </w:r>
      <w:r w:rsidR="0080436C">
        <w:rPr>
          <w:rFonts w:ascii="Times New Roman" w:eastAsia="Times New Roman" w:hAnsi="Times New Roman" w:cs="Times New Roman"/>
          <w:sz w:val="24"/>
        </w:rPr>
        <w:t>-</w:t>
      </w:r>
      <w:r>
        <w:rPr>
          <w:rFonts w:ascii="Times New Roman" w:eastAsia="Times New Roman" w:hAnsi="Times New Roman" w:cs="Times New Roman"/>
          <w:sz w:val="24"/>
        </w:rPr>
        <w:t>infliximab-antibodies as well as sub-therapeutically trough level of Infliximab. Two months later we evaluate the same</w:t>
      </w:r>
      <w:r w:rsidR="00943004">
        <w:rPr>
          <w:rFonts w:ascii="Times New Roman" w:eastAsia="Times New Roman" w:hAnsi="Times New Roman" w:cs="Times New Roman"/>
          <w:sz w:val="24"/>
        </w:rPr>
        <w:t xml:space="preserve"> parameters and we found no anti-infliximab antibodies and therapeutically </w:t>
      </w:r>
      <w:r w:rsidR="001E62B2">
        <w:rPr>
          <w:rFonts w:ascii="Times New Roman" w:eastAsia="Times New Roman" w:hAnsi="Times New Roman" w:cs="Times New Roman"/>
          <w:sz w:val="24"/>
        </w:rPr>
        <w:t xml:space="preserve">through </w:t>
      </w:r>
      <w:r w:rsidR="00943004">
        <w:rPr>
          <w:rFonts w:ascii="Times New Roman" w:eastAsia="Times New Roman" w:hAnsi="Times New Roman" w:cs="Times New Roman"/>
          <w:sz w:val="24"/>
        </w:rPr>
        <w:t>level.</w:t>
      </w:r>
    </w:p>
    <w:p w:rsidR="00943004" w:rsidRDefault="00943004"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There are some discussion in the literature regarding the transient anti drug antibodies and therefore the need to re</w:t>
      </w:r>
      <w:r w:rsidR="0080436C">
        <w:rPr>
          <w:rFonts w:ascii="Times New Roman" w:eastAsia="Times New Roman" w:hAnsi="Times New Roman" w:cs="Times New Roman"/>
          <w:sz w:val="24"/>
        </w:rPr>
        <w:t>p</w:t>
      </w:r>
      <w:r w:rsidR="001E62B2">
        <w:rPr>
          <w:rFonts w:ascii="Times New Roman" w:eastAsia="Times New Roman" w:hAnsi="Times New Roman" w:cs="Times New Roman"/>
          <w:sz w:val="24"/>
        </w:rPr>
        <w:t>eat them when positive and mainly when the clinical appearance does not explain the paraclinical findings.</w:t>
      </w:r>
    </w:p>
    <w:p w:rsidR="00E7242F" w:rsidRDefault="00943004" w:rsidP="00765453">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Our study concluded that, even on small clinical trial you can find valuable inform</w:t>
      </w:r>
      <w:r w:rsidR="001E62B2">
        <w:rPr>
          <w:rFonts w:ascii="Times New Roman" w:eastAsia="Times New Roman" w:hAnsi="Times New Roman" w:cs="Times New Roman"/>
          <w:sz w:val="24"/>
        </w:rPr>
        <w:t xml:space="preserve">ation that can help </w:t>
      </w:r>
      <w:r>
        <w:rPr>
          <w:rFonts w:ascii="Times New Roman" w:eastAsia="Times New Roman" w:hAnsi="Times New Roman" w:cs="Times New Roman"/>
          <w:sz w:val="24"/>
        </w:rPr>
        <w:t xml:space="preserve">to tailor the treatment for the patient. </w:t>
      </w:r>
    </w:p>
    <w:p w:rsidR="00621A5B" w:rsidRDefault="00621A5B"/>
    <w:sectPr w:rsidR="00621A5B" w:rsidSect="00621A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63B38"/>
    <w:rsid w:val="001E62B2"/>
    <w:rsid w:val="00621A5B"/>
    <w:rsid w:val="00765453"/>
    <w:rsid w:val="0080436C"/>
    <w:rsid w:val="00943004"/>
    <w:rsid w:val="00B63B38"/>
    <w:rsid w:val="00E72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45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3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odicaolteanu@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Rodica</dc:creator>
  <cp:lastModifiedBy>Rodica</cp:lastModifiedBy>
  <cp:revision>2</cp:revision>
  <dcterms:created xsi:type="dcterms:W3CDTF">2016-12-12T11:40:00Z</dcterms:created>
  <dcterms:modified xsi:type="dcterms:W3CDTF">2016-12-12T12:23:00Z</dcterms:modified>
</cp:coreProperties>
</file>