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p>
    <w:p>
      <w:pPr>
        <w:pStyle w:val="Heading1"/>
        <w:spacing w:line="362" w:lineRule="auto" w:before="217"/>
        <w:ind w:left="129" w:right="147"/>
        <w:jc w:val="center"/>
      </w:pPr>
      <w:r>
        <w:rPr/>
        <w:t>Therapeutic Potential </w:t>
      </w:r>
      <w:r>
        <w:rPr>
          <w:spacing w:val="-3"/>
        </w:rPr>
        <w:t>of </w:t>
      </w:r>
      <w:r>
        <w:rPr/>
        <w:t>AgNPs coupled with </w:t>
      </w:r>
      <w:r>
        <w:rPr>
          <w:i/>
        </w:rPr>
        <w:t>Andrographis paniculata</w:t>
      </w:r>
      <w:r>
        <w:rPr>
          <w:i/>
          <w:spacing w:val="-22"/>
        </w:rPr>
        <w:t> </w:t>
      </w:r>
      <w:r>
        <w:rPr/>
        <w:t>against Chronic Liver Diseases in Experimental Murine</w:t>
      </w:r>
      <w:r>
        <w:rPr>
          <w:spacing w:val="-5"/>
        </w:rPr>
        <w:t> </w:t>
      </w:r>
      <w:r>
        <w:rPr/>
        <w:t>Model</w:t>
      </w:r>
    </w:p>
    <w:p>
      <w:pPr>
        <w:pStyle w:val="BodyText"/>
        <w:spacing w:before="10"/>
        <w:rPr>
          <w:b/>
          <w:sz w:val="33"/>
        </w:rPr>
      </w:pPr>
    </w:p>
    <w:p>
      <w:pPr>
        <w:spacing w:before="0"/>
        <w:ind w:left="74" w:right="147" w:firstLine="0"/>
        <w:jc w:val="center"/>
        <w:rPr>
          <w:b/>
          <w:i/>
          <w:sz w:val="16"/>
        </w:rPr>
      </w:pPr>
      <w:r>
        <w:rPr>
          <w:b/>
          <w:sz w:val="24"/>
          <w:u w:val="thick"/>
        </w:rPr>
        <w:t>Soumendra Darbar</w:t>
      </w:r>
      <w:r>
        <w:rPr>
          <w:b/>
          <w:position w:val="9"/>
          <w:sz w:val="16"/>
        </w:rPr>
        <w:t>1,2</w:t>
      </w:r>
      <w:r>
        <w:rPr>
          <w:b/>
          <w:sz w:val="24"/>
        </w:rPr>
        <w:t>, Srimoyee Saha</w:t>
      </w:r>
      <w:r>
        <w:rPr>
          <w:b/>
          <w:position w:val="9"/>
          <w:sz w:val="16"/>
        </w:rPr>
        <w:t>3</w:t>
      </w:r>
      <w:r>
        <w:rPr>
          <w:b/>
          <w:sz w:val="24"/>
        </w:rPr>
        <w:t>, </w:t>
      </w:r>
      <w:r>
        <w:rPr>
          <w:b/>
          <w:i/>
          <w:sz w:val="24"/>
        </w:rPr>
        <w:t>Kausikisankar</w:t>
      </w:r>
      <w:r>
        <w:rPr>
          <w:b/>
          <w:i/>
          <w:spacing w:val="-17"/>
          <w:sz w:val="24"/>
        </w:rPr>
        <w:t> </w:t>
      </w:r>
      <w:r>
        <w:rPr>
          <w:b/>
          <w:i/>
          <w:sz w:val="24"/>
        </w:rPr>
        <w:t>Pramanik</w:t>
      </w:r>
      <w:r>
        <w:rPr>
          <w:b/>
          <w:i/>
          <w:position w:val="8"/>
          <w:sz w:val="16"/>
        </w:rPr>
        <w:t>2</w:t>
      </w:r>
    </w:p>
    <w:p>
      <w:pPr>
        <w:spacing w:before="126"/>
        <w:ind w:left="129" w:right="140" w:firstLine="0"/>
        <w:jc w:val="center"/>
        <w:rPr>
          <w:b/>
          <w:sz w:val="16"/>
        </w:rPr>
      </w:pPr>
      <w:r>
        <w:rPr>
          <w:b/>
          <w:sz w:val="24"/>
        </w:rPr>
        <w:t>and Atiskumar Chattopadhyay*</w:t>
      </w:r>
      <w:r>
        <w:rPr>
          <w:b/>
          <w:position w:val="9"/>
          <w:sz w:val="16"/>
        </w:rPr>
        <w:t>1</w:t>
      </w:r>
    </w:p>
    <w:p>
      <w:pPr>
        <w:pStyle w:val="BodyText"/>
        <w:spacing w:line="345" w:lineRule="auto" w:before="117"/>
        <w:ind w:left="162" w:right="186" w:firstLine="4"/>
        <w:jc w:val="center"/>
      </w:pPr>
      <w:r>
        <w:rPr>
          <w:position w:val="9"/>
          <w:sz w:val="16"/>
        </w:rPr>
        <w:t>1</w:t>
      </w:r>
      <w:r>
        <w:rPr/>
        <w:t>Faculty of Science, Jadavpur University, Raja S C Mallick Road, Kolkata-700032, India </w:t>
      </w:r>
      <w:r>
        <w:rPr>
          <w:position w:val="9"/>
          <w:sz w:val="16"/>
        </w:rPr>
        <w:t>2</w:t>
      </w:r>
      <w:r>
        <w:rPr/>
        <w:t>Department of Chemistry, Jadavpur University, Raja S C Mallick Road, Kolkata-700032, India </w:t>
      </w:r>
      <w:r>
        <w:rPr>
          <w:position w:val="9"/>
          <w:sz w:val="16"/>
        </w:rPr>
        <w:t>3</w:t>
      </w:r>
      <w:r>
        <w:rPr/>
        <w:t>Department of Physics, Jadavpur University, Raja S C Mallick Road, Kolkata-700032, India</w:t>
      </w:r>
    </w:p>
    <w:p>
      <w:pPr>
        <w:pStyle w:val="BodyText"/>
        <w:rPr>
          <w:sz w:val="28"/>
        </w:rPr>
      </w:pPr>
    </w:p>
    <w:p>
      <w:pPr>
        <w:spacing w:before="214"/>
        <w:ind w:left="100" w:right="0" w:firstLine="0"/>
        <w:jc w:val="left"/>
        <w:rPr>
          <w:b/>
          <w:sz w:val="28"/>
        </w:rPr>
      </w:pPr>
      <w:r>
        <w:rPr>
          <w:b/>
          <w:color w:val="212121"/>
          <w:sz w:val="28"/>
        </w:rPr>
        <w:t>ABSTRACT</w:t>
      </w:r>
    </w:p>
    <w:p>
      <w:pPr>
        <w:pStyle w:val="BodyText"/>
        <w:spacing w:line="360" w:lineRule="auto" w:before="243"/>
        <w:ind w:left="100" w:right="113"/>
        <w:jc w:val="both"/>
      </w:pPr>
      <w:r>
        <w:rPr>
          <w:b/>
        </w:rPr>
        <w:t>Purpose: </w:t>
      </w:r>
      <w:r>
        <w:rPr/>
        <w:t>Nanomedicine </w:t>
      </w:r>
      <w:r>
        <w:rPr>
          <w:spacing w:val="-3"/>
        </w:rPr>
        <w:t>is </w:t>
      </w:r>
      <w:r>
        <w:rPr/>
        <w:t>widely explored nowadays for treatment of </w:t>
      </w:r>
      <w:r>
        <w:rPr>
          <w:spacing w:val="-4"/>
        </w:rPr>
        <w:t>life </w:t>
      </w:r>
      <w:r>
        <w:rPr/>
        <w:t>threatening diseases, yet comes with various challenges and questions. The present study encapsulates the preliminary toxicological aspects and its therapeutic potential of the </w:t>
      </w:r>
      <w:r>
        <w:rPr>
          <w:i/>
        </w:rPr>
        <w:t>Andrographis paniculata </w:t>
      </w:r>
      <w:r>
        <w:rPr/>
        <w:t>coupled silver nanoparticles (AP-AgNPs). </w:t>
      </w:r>
      <w:r>
        <w:rPr>
          <w:b/>
        </w:rPr>
        <w:t>Objective: </w:t>
      </w:r>
      <w:r>
        <w:rPr/>
        <w:t>Current discovery demonstrates the facile and rapid synthesis of biocompatible silver nanoparticles (AgNPs) by a novel biological route using </w:t>
      </w:r>
      <w:r>
        <w:rPr>
          <w:i/>
        </w:rPr>
        <w:t>Andrographis paniculata </w:t>
      </w:r>
      <w:r>
        <w:rPr/>
        <w:t>extract. </w:t>
      </w:r>
      <w:r>
        <w:rPr>
          <w:b/>
        </w:rPr>
        <w:t>Methods: </w:t>
      </w:r>
      <w:r>
        <w:rPr/>
        <w:t>For toxicity studies according to OCED (Organization for Economic Cooperation Development) guidelines Swiss Albino </w:t>
      </w:r>
      <w:r>
        <w:rPr>
          <w:spacing w:val="-3"/>
        </w:rPr>
        <w:t>mice </w:t>
      </w:r>
      <w:r>
        <w:rPr>
          <w:spacing w:val="3"/>
        </w:rPr>
        <w:t>(6-8 </w:t>
      </w:r>
      <w:r>
        <w:rPr/>
        <w:t>weeks) were used. In application part we </w:t>
      </w:r>
      <w:r>
        <w:rPr>
          <w:spacing w:val="-3"/>
        </w:rPr>
        <w:t>also </w:t>
      </w:r>
      <w:r>
        <w:rPr/>
        <w:t>used Swiss Albino </w:t>
      </w:r>
      <w:r>
        <w:rPr>
          <w:spacing w:val="-3"/>
        </w:rPr>
        <w:t>mice </w:t>
      </w:r>
      <w:r>
        <w:rPr>
          <w:spacing w:val="2"/>
        </w:rPr>
        <w:t>to </w:t>
      </w:r>
      <w:r>
        <w:rPr/>
        <w:t>determine the inhibition of chronic liver damage. </w:t>
      </w:r>
      <w:r>
        <w:rPr>
          <w:b/>
        </w:rPr>
        <w:t>Results: </w:t>
      </w:r>
      <w:r>
        <w:rPr/>
        <w:t>The silver nanoparticles were characterized by means </w:t>
      </w:r>
      <w:r>
        <w:rPr>
          <w:spacing w:val="4"/>
        </w:rPr>
        <w:t>of </w:t>
      </w:r>
      <w:r>
        <w:rPr/>
        <w:t>UV– vis spectroscopy, scanning electron microscopy (SEM), electron diffraction spectroscopy (EDX) and X-ray diffraction (XRD). In toxicity study no changes were found for general appearance, behavior and body weight, thus concluding that the nanocomposite formulation does not </w:t>
      </w:r>
      <w:r>
        <w:rPr>
          <w:spacing w:val="-3"/>
        </w:rPr>
        <w:t>have </w:t>
      </w:r>
      <w:r>
        <w:rPr/>
        <w:t>single dose toxicity. In the second part of the study </w:t>
      </w:r>
      <w:r>
        <w:rPr>
          <w:spacing w:val="3"/>
        </w:rPr>
        <w:t>our </w:t>
      </w:r>
      <w:r>
        <w:rPr/>
        <w:t>results show that oral treatment of AP- </w:t>
      </w:r>
      <w:r>
        <w:rPr>
          <w:position w:val="2"/>
        </w:rPr>
        <w:t>AgNPs can effectively reduce severe chronic liver </w:t>
      </w:r>
      <w:r>
        <w:rPr>
          <w:spacing w:val="-2"/>
          <w:position w:val="2"/>
        </w:rPr>
        <w:t>damage </w:t>
      </w:r>
      <w:r>
        <w:rPr>
          <w:position w:val="2"/>
        </w:rPr>
        <w:t>even fibrosis </w:t>
      </w:r>
      <w:r>
        <w:rPr>
          <w:spacing w:val="-3"/>
          <w:position w:val="2"/>
        </w:rPr>
        <w:t>in </w:t>
      </w:r>
      <w:r>
        <w:rPr>
          <w:position w:val="2"/>
        </w:rPr>
        <w:t>CCl</w:t>
      </w:r>
      <w:r>
        <w:rPr>
          <w:sz w:val="16"/>
        </w:rPr>
        <w:t>4 </w:t>
      </w:r>
      <w:r>
        <w:rPr>
          <w:position w:val="2"/>
        </w:rPr>
        <w:t>-induced mice </w:t>
      </w:r>
      <w:r>
        <w:rPr>
          <w:spacing w:val="-3"/>
        </w:rPr>
        <w:t>model. </w:t>
      </w:r>
      <w:r>
        <w:rPr/>
        <w:t>Further investigations revealed that AP-AgNPs show increased antioxidant activity both </w:t>
      </w:r>
      <w:r>
        <w:rPr>
          <w:spacing w:val="-3"/>
        </w:rPr>
        <w:t>in </w:t>
      </w:r>
      <w:r>
        <w:rPr/>
        <w:t>vitro and </w:t>
      </w:r>
      <w:r>
        <w:rPr>
          <w:spacing w:val="-3"/>
        </w:rPr>
        <w:t>in </w:t>
      </w:r>
      <w:r>
        <w:rPr/>
        <w:t>vivo, which </w:t>
      </w:r>
      <w:r>
        <w:rPr>
          <w:spacing w:val="-3"/>
        </w:rPr>
        <w:t>is in </w:t>
      </w:r>
      <w:r>
        <w:rPr/>
        <w:t>turn responsible for its hepatoprotective nature. Assessment of various liver function parameters along with histopathology and immunohistochemistry were performed to evaluate pathophysiological condition of the liver. To unravel the mechanisms involved </w:t>
      </w:r>
      <w:r>
        <w:rPr>
          <w:spacing w:val="-3"/>
        </w:rPr>
        <w:t>in </w:t>
      </w:r>
      <w:r>
        <w:rPr/>
        <w:t>attenuation of </w:t>
      </w:r>
      <w:r>
        <w:rPr>
          <w:spacing w:val="-3"/>
        </w:rPr>
        <w:t>liver </w:t>
      </w:r>
      <w:r>
        <w:rPr/>
        <w:t>injury by AP-AgNPs, various antioxidant parameters</w:t>
      </w:r>
      <w:r>
        <w:rPr>
          <w:spacing w:val="19"/>
        </w:rPr>
        <w:t> </w:t>
      </w:r>
      <w:r>
        <w:rPr/>
        <w:t>(like</w:t>
      </w:r>
    </w:p>
    <w:p>
      <w:pPr>
        <w:spacing w:after="0" w:line="360" w:lineRule="auto"/>
        <w:jc w:val="both"/>
        <w:sectPr>
          <w:type w:val="continuous"/>
          <w:pgSz w:w="12240" w:h="15840"/>
          <w:pgMar w:top="1500" w:bottom="280" w:left="1340" w:right="1320"/>
        </w:sectPr>
      </w:pPr>
    </w:p>
    <w:p>
      <w:pPr>
        <w:pStyle w:val="BodyText"/>
        <w:spacing w:line="360" w:lineRule="auto" w:before="72"/>
        <w:ind w:left="100" w:right="116"/>
        <w:jc w:val="both"/>
      </w:pPr>
      <w:r>
        <w:rPr/>
        <w:t>superoxide dismutase, catalase, glutathione peroxidase, reduced glutathione etc.) were </w:t>
      </w:r>
      <w:r>
        <w:rPr>
          <w:spacing w:val="-3"/>
        </w:rPr>
        <w:t>also </w:t>
      </w:r>
      <w:r>
        <w:rPr/>
        <w:t>examined. An </w:t>
      </w:r>
      <w:r>
        <w:rPr>
          <w:spacing w:val="-3"/>
        </w:rPr>
        <w:t>in </w:t>
      </w:r>
      <w:r>
        <w:rPr/>
        <w:t>depth study of the effect of AP-AgNPs on mitochondria, the cellular mediator of oxidative stress further revealed the molecular mechanism behind its therapeutic efficacy. </w:t>
      </w:r>
      <w:r>
        <w:rPr>
          <w:b/>
        </w:rPr>
        <w:t>Conclusion: </w:t>
      </w:r>
      <w:r>
        <w:rPr/>
        <w:t>To </w:t>
      </w:r>
      <w:r>
        <w:rPr>
          <w:spacing w:val="-3"/>
        </w:rPr>
        <w:t>best </w:t>
      </w:r>
      <w:r>
        <w:rPr/>
        <w:t>of our knowledge, this </w:t>
      </w:r>
      <w:r>
        <w:rPr>
          <w:spacing w:val="-3"/>
        </w:rPr>
        <w:t>is </w:t>
      </w:r>
      <w:r>
        <w:rPr/>
        <w:t>the </w:t>
      </w:r>
      <w:r>
        <w:rPr>
          <w:spacing w:val="-3"/>
        </w:rPr>
        <w:t>first </w:t>
      </w:r>
      <w:r>
        <w:rPr/>
        <w:t>study that demonstrates direct oral treatment of inorganic NPs (i.e., AP-AgNPs) without any delivery system can efficiently reduce chronic hepatotoxicity and </w:t>
      </w:r>
      <w:r>
        <w:rPr>
          <w:spacing w:val="-3"/>
        </w:rPr>
        <w:t>liver </w:t>
      </w:r>
      <w:r>
        <w:rPr/>
        <w:t>fibrosis through its antioxidant</w:t>
      </w:r>
      <w:r>
        <w:rPr>
          <w:spacing w:val="9"/>
        </w:rPr>
        <w:t> </w:t>
      </w:r>
      <w:r>
        <w:rPr/>
        <w:t>activity.</w:t>
      </w:r>
    </w:p>
    <w:p>
      <w:pPr>
        <w:spacing w:line="362" w:lineRule="auto" w:before="0"/>
        <w:ind w:left="100" w:right="124" w:firstLine="0"/>
        <w:jc w:val="both"/>
        <w:rPr>
          <w:sz w:val="24"/>
        </w:rPr>
      </w:pPr>
      <w:r>
        <w:rPr>
          <w:b/>
          <w:sz w:val="24"/>
        </w:rPr>
        <w:t>Keywords: </w:t>
      </w:r>
      <w:r>
        <w:rPr>
          <w:sz w:val="24"/>
        </w:rPr>
        <w:t>Silver nanoparticles: </w:t>
      </w:r>
      <w:r>
        <w:rPr>
          <w:i/>
          <w:sz w:val="24"/>
        </w:rPr>
        <w:t>Andrographis paniculata</w:t>
      </w:r>
      <w:r>
        <w:rPr>
          <w:sz w:val="24"/>
        </w:rPr>
        <w:t>; liver damage; fibrosis; Antioxidant enzyme</w:t>
      </w:r>
    </w:p>
    <w:sectPr>
      <w:pgSz w:w="12240" w:h="15840"/>
      <w:pgMar w:top="1360" w:bottom="280" w:left="134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en-US"/>
    </w:rPr>
  </w:style>
  <w:style w:styleId="Heading1" w:type="paragraph">
    <w:name w:val="Heading 1"/>
    <w:basedOn w:val="Normal"/>
    <w:uiPriority w:val="1"/>
    <w:qFormat/>
    <w:pPr>
      <w:spacing w:before="214"/>
      <w:ind w:left="100"/>
      <w:outlineLvl w:val="1"/>
    </w:pPr>
    <w:rPr>
      <w:rFonts w:ascii="Times New Roman" w:hAnsi="Times New Roman" w:eastAsia="Times New Roman" w:cs="Times New Roman"/>
      <w:b/>
      <w:bCs/>
      <w:sz w:val="28"/>
      <w:szCs w:val="28"/>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erms:created xsi:type="dcterms:W3CDTF">2019-11-28T11:59:43Z</dcterms:created>
  <dcterms:modified xsi:type="dcterms:W3CDTF">2019-11-28T11:59:43Z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2018-09-10T00:00:00Z</vt:filetime>
  </property>
  <property fmtid="{D5CDD505-2E9C-101B-9397-08002B2CF9AE}" pid="3" name="Creator">
    <vt:lpwstr>Microsoft® Word 2016</vt:lpwstr>
  </property>
  <property fmtid="{D5CDD505-2E9C-101B-9397-08002B2CF9AE}" pid="4" name="LastSaved">
    <vt:filetime>2019-11-28T00:00:00Z</vt:filetime>
  </property>
</Properties>
</file>