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AD0" w:rsidRPr="00723EF1" w:rsidRDefault="00966AD0" w:rsidP="00966AD0">
      <w:r>
        <w:rPr>
          <w:noProof/>
          <w:sz w:val="18"/>
          <w:szCs w:val="18"/>
          <w:lang w:val="fr-FR" w:eastAsia="fr-FR"/>
        </w:rPr>
        <w:drawing>
          <wp:inline distT="0" distB="0" distL="0" distR="0" wp14:anchorId="4A97E51C" wp14:editId="403D2D6D">
            <wp:extent cx="1011555" cy="1172783"/>
            <wp:effectExtent l="0" t="0" r="4445" b="0"/>
            <wp:docPr id="2" name="Image 2" descr="C:\Users\salwa\Desktop\11802181_10204771201257015_71735455_n - Copi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lwa\Desktop\11802181_10204771201257015_71735455_n - Copie (2).jpg"/>
                    <pic:cNvPicPr>
                      <a:picLocks noChangeAspect="1" noChangeArrowheads="1"/>
                    </pic:cNvPicPr>
                  </pic:nvPicPr>
                  <pic:blipFill>
                    <a:blip r:embed="rId4">
                      <a:extLst>
                        <a:ext uri="{BEBA8EAE-BF5A-486C-A8C5-ECC9F3942E4B}">
                          <a14:imgProps xmlns:a14="http://schemas.microsoft.com/office/drawing/2010/main">
                            <a14:imgLayer r:embed="rId5">
                              <a14:imgEffect>
                                <a14:brightnessContrast contrast="20000"/>
                              </a14:imgEffect>
                            </a14:imgLayer>
                          </a14:imgProps>
                        </a:ext>
                      </a:extLst>
                    </a:blip>
                    <a:srcRect/>
                    <a:stretch>
                      <a:fillRect/>
                    </a:stretch>
                  </pic:blipFill>
                  <pic:spPr bwMode="auto">
                    <a:xfrm>
                      <a:off x="0" y="0"/>
                      <a:ext cx="1033982" cy="1198784"/>
                    </a:xfrm>
                    <a:prstGeom prst="rect">
                      <a:avLst/>
                    </a:prstGeom>
                    <a:noFill/>
                    <a:ln w="9525">
                      <a:noFill/>
                      <a:miter lim="800000"/>
                      <a:headEnd/>
                      <a:tailEnd/>
                    </a:ln>
                  </pic:spPr>
                </pic:pic>
              </a:graphicData>
            </a:graphic>
          </wp:inline>
        </w:drawing>
      </w:r>
      <w:r w:rsidRPr="00D43A7E">
        <w:rPr>
          <w:b/>
          <w:noProof/>
          <w:lang w:val="fr-FR" w:eastAsia="fr-FR"/>
        </w:rPr>
        <w:drawing>
          <wp:anchor distT="0" distB="0" distL="114300" distR="114300" simplePos="0" relativeHeight="251659264" behindDoc="0" locked="0" layoutInCell="1" allowOverlap="1" wp14:anchorId="060488AA" wp14:editId="76FBA1F8">
            <wp:simplePos x="0" y="0"/>
            <wp:positionH relativeFrom="column">
              <wp:posOffset>2171700</wp:posOffset>
            </wp:positionH>
            <wp:positionV relativeFrom="paragraph">
              <wp:posOffset>228600</wp:posOffset>
            </wp:positionV>
            <wp:extent cx="3763832" cy="685800"/>
            <wp:effectExtent l="0" t="0" r="0" b="0"/>
            <wp:wrapNone/>
            <wp:docPr id="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3763832" cy="685800"/>
                    </a:xfrm>
                    <a:prstGeom prst="rect">
                      <a:avLst/>
                    </a:prstGeom>
                  </pic:spPr>
                </pic:pic>
              </a:graphicData>
            </a:graphic>
            <wp14:sizeRelH relativeFrom="page">
              <wp14:pctWidth>0</wp14:pctWidth>
            </wp14:sizeRelH>
            <wp14:sizeRelV relativeFrom="page">
              <wp14:pctHeight>0</wp14:pctHeight>
            </wp14:sizeRelV>
          </wp:anchor>
        </w:drawing>
      </w:r>
      <w:r w:rsidRPr="00D232BC">
        <w:rPr>
          <w:noProof/>
          <w:lang w:eastAsia="fr-FR"/>
        </w:rPr>
        <w:t xml:space="preserve">                                                </w:t>
      </w:r>
      <w:r w:rsidRPr="009F61C4">
        <w:rPr>
          <w:rFonts w:eastAsia="Times New Roman"/>
          <w:snapToGrid w:val="0"/>
          <w:color w:val="000000"/>
          <w:w w:val="0"/>
          <w:sz w:val="0"/>
          <w:szCs w:val="0"/>
          <w:u w:color="000000"/>
          <w:bdr w:val="none" w:sz="0" w:space="0" w:color="000000"/>
          <w:shd w:val="clear" w:color="000000" w:fill="000000"/>
          <w:lang w:val="x-none" w:eastAsia="x-none" w:bidi="x-none"/>
        </w:rPr>
        <w:t xml:space="preserve"> </w:t>
      </w:r>
    </w:p>
    <w:p w:rsidR="00966AD0" w:rsidRDefault="00966AD0" w:rsidP="00966AD0">
      <w:pPr>
        <w:rPr>
          <w:rFonts w:eastAsia="MS PGothic"/>
          <w:b/>
          <w:color w:val="000000"/>
          <w:sz w:val="28"/>
          <w:szCs w:val="28"/>
        </w:rPr>
      </w:pPr>
    </w:p>
    <w:p w:rsidR="00966AD0" w:rsidRDefault="00966AD0" w:rsidP="00966AD0">
      <w:pPr>
        <w:autoSpaceDE w:val="0"/>
        <w:autoSpaceDN w:val="0"/>
        <w:adjustRightInd w:val="0"/>
        <w:jc w:val="center"/>
        <w:rPr>
          <w:b/>
          <w:sz w:val="28"/>
          <w:szCs w:val="28"/>
        </w:rPr>
      </w:pPr>
      <w:r>
        <w:rPr>
          <w:b/>
          <w:sz w:val="28"/>
          <w:szCs w:val="26"/>
        </w:rPr>
        <w:t>Biofertilizers based on</w:t>
      </w:r>
      <w:r w:rsidRPr="00D232BC">
        <w:rPr>
          <w:b/>
          <w:sz w:val="28"/>
          <w:szCs w:val="26"/>
        </w:rPr>
        <w:t xml:space="preserve"> biomass: Efficiency and impact on the chemical and biological soil quality</w:t>
      </w:r>
    </w:p>
    <w:p w:rsidR="00966AD0" w:rsidRPr="00D232BC" w:rsidRDefault="00966AD0" w:rsidP="00966AD0">
      <w:pPr>
        <w:autoSpaceDE w:val="0"/>
        <w:autoSpaceDN w:val="0"/>
        <w:adjustRightInd w:val="0"/>
        <w:jc w:val="center"/>
        <w:rPr>
          <w:b/>
          <w:sz w:val="28"/>
          <w:szCs w:val="26"/>
        </w:rPr>
      </w:pPr>
    </w:p>
    <w:p w:rsidR="00966AD0" w:rsidRDefault="00966AD0" w:rsidP="00966AD0">
      <w:pPr>
        <w:autoSpaceDE w:val="0"/>
        <w:autoSpaceDN w:val="0"/>
        <w:adjustRightInd w:val="0"/>
        <w:jc w:val="center"/>
      </w:pPr>
      <w:r w:rsidRPr="00660B4A">
        <w:rPr>
          <w:rFonts w:eastAsia="MS PGothic" w:hAnsi="Arial"/>
          <w:b/>
          <w:color w:val="000000"/>
        </w:rPr>
        <w:t>Saloua FERTAHI</w:t>
      </w:r>
      <w:r>
        <w:rPr>
          <w:rFonts w:eastAsia="MS PGothic" w:hAnsi="Arial"/>
          <w:b/>
          <w:color w:val="000000"/>
        </w:rPr>
        <w:t>, Abderrahim SOLHY</w:t>
      </w:r>
      <w:r w:rsidRPr="00660B4A">
        <w:rPr>
          <w:rFonts w:eastAsia="MS PGothic" w:hAnsi="Arial"/>
          <w:b/>
          <w:color w:val="000000"/>
        </w:rPr>
        <w:t>, Essaid</w:t>
      </w:r>
      <w:r>
        <w:rPr>
          <w:rFonts w:eastAsia="MS PGothic" w:hAnsi="Arial"/>
          <w:b/>
          <w:color w:val="000000"/>
        </w:rPr>
        <w:t xml:space="preserve"> BILAL</w:t>
      </w:r>
      <w:r w:rsidRPr="00660B4A">
        <w:rPr>
          <w:rFonts w:eastAsia="MS PGothic" w:hAnsi="Arial"/>
          <w:b/>
          <w:color w:val="000000"/>
        </w:rPr>
        <w:t xml:space="preserve"> and Abdellatif B</w:t>
      </w:r>
      <w:r>
        <w:rPr>
          <w:rFonts w:eastAsia="MS PGothic" w:hAnsi="Arial"/>
          <w:b/>
          <w:color w:val="000000"/>
        </w:rPr>
        <w:t>ARAKAT</w:t>
      </w:r>
    </w:p>
    <w:p w:rsidR="00966AD0" w:rsidRDefault="00966AD0" w:rsidP="00966AD0">
      <w:pPr>
        <w:autoSpaceDE w:val="0"/>
        <w:autoSpaceDN w:val="0"/>
        <w:adjustRightInd w:val="0"/>
        <w:jc w:val="center"/>
        <w:rPr>
          <w:rFonts w:eastAsia="MS PGothic" w:hAnsi="Arial"/>
          <w:color w:val="000000"/>
        </w:rPr>
      </w:pPr>
    </w:p>
    <w:p w:rsidR="00966AD0" w:rsidRDefault="00966AD0" w:rsidP="00966AD0">
      <w:pPr>
        <w:autoSpaceDE w:val="0"/>
        <w:autoSpaceDN w:val="0"/>
        <w:adjustRightInd w:val="0"/>
        <w:jc w:val="center"/>
      </w:pPr>
      <w:r w:rsidRPr="00C71329">
        <w:t>Mohammed VI Polytechn</w:t>
      </w:r>
      <w:r>
        <w:t xml:space="preserve">ic University (UM6P), 43150 Ben Guerir, </w:t>
      </w:r>
      <w:r w:rsidRPr="00C71329">
        <w:t>Morocco</w:t>
      </w:r>
    </w:p>
    <w:p w:rsidR="00966AD0" w:rsidRPr="0046106F" w:rsidRDefault="00966AD0" w:rsidP="00966AD0">
      <w:pPr>
        <w:jc w:val="center"/>
      </w:pPr>
      <w:r w:rsidRPr="0046106F">
        <w:t>National Institute of Agronomic Research</w:t>
      </w:r>
      <w:r>
        <w:t xml:space="preserve"> (INRA)</w:t>
      </w:r>
      <w:r w:rsidRPr="0046106F">
        <w:t>,</w:t>
      </w:r>
      <w:r w:rsidRPr="00B9416F">
        <w:t xml:space="preserve"> </w:t>
      </w:r>
      <w:r>
        <w:t>34060</w:t>
      </w:r>
      <w:r w:rsidRPr="0046106F">
        <w:t xml:space="preserve"> Montpellie</w:t>
      </w:r>
      <w:r>
        <w:t>r, France</w:t>
      </w:r>
    </w:p>
    <w:p w:rsidR="00966AD0" w:rsidRPr="004D3180" w:rsidRDefault="00966AD0" w:rsidP="00966AD0">
      <w:pPr>
        <w:ind w:firstLine="567"/>
        <w:jc w:val="center"/>
      </w:pPr>
    </w:p>
    <w:p w:rsidR="00966AD0" w:rsidRDefault="00966AD0" w:rsidP="00966AD0">
      <w:pPr>
        <w:autoSpaceDE w:val="0"/>
        <w:autoSpaceDN w:val="0"/>
        <w:adjustRightInd w:val="0"/>
        <w:jc w:val="center"/>
        <w:rPr>
          <w:b/>
          <w:sz w:val="28"/>
        </w:rPr>
      </w:pPr>
      <w:r w:rsidRPr="007A703D">
        <w:rPr>
          <w:b/>
          <w:sz w:val="28"/>
        </w:rPr>
        <w:t>Abstract</w:t>
      </w:r>
    </w:p>
    <w:p w:rsidR="00966AD0" w:rsidRPr="007A703D" w:rsidRDefault="00966AD0" w:rsidP="00966AD0">
      <w:pPr>
        <w:autoSpaceDE w:val="0"/>
        <w:autoSpaceDN w:val="0"/>
        <w:adjustRightInd w:val="0"/>
        <w:jc w:val="center"/>
        <w:rPr>
          <w:b/>
          <w:sz w:val="28"/>
        </w:rPr>
      </w:pPr>
    </w:p>
    <w:p w:rsidR="00966AD0" w:rsidRPr="000316E6" w:rsidRDefault="00966AD0" w:rsidP="00966AD0">
      <w:pPr>
        <w:ind w:firstLine="567"/>
        <w:jc w:val="both"/>
      </w:pPr>
      <w:r w:rsidRPr="000316E6">
        <w:t>According to the United Nations Food and Agriculture Organization (FAO), the production of food will need to increase by 70% in order to supply the population which expected to reach approximately 9.5 billion in 2050 [1]. To respond on this exponential growth of the global population food need, fertilizers are one of the most important element</w:t>
      </w:r>
      <w:r>
        <w:t>s to increase the agriculture efficiency for objective</w:t>
      </w:r>
      <w:r w:rsidRPr="000316E6">
        <w:t xml:space="preserve"> to insure the global food security. Nitrogen (N), phosphorus (P) and potassium (K) are the three major elements required for plant growth.</w:t>
      </w:r>
    </w:p>
    <w:p w:rsidR="00966AD0" w:rsidRPr="000316E6" w:rsidRDefault="00966AD0" w:rsidP="00966AD0">
      <w:pPr>
        <w:ind w:firstLine="426"/>
        <w:jc w:val="both"/>
      </w:pPr>
      <w:r w:rsidRPr="000316E6">
        <w:t>In the other hand, plant benefits just from a small quantity of conventional fertilizers (30–60% N, 10–20% P and 30–50% K)</w:t>
      </w:r>
      <w:r w:rsidRPr="00FC25ED">
        <w:t xml:space="preserve"> </w:t>
      </w:r>
      <w:r w:rsidR="00EE5DD0">
        <w:t>[2</w:t>
      </w:r>
      <w:r w:rsidRPr="000316E6">
        <w:t xml:space="preserve">], and the rest is lost by volatilization in the atmosphere, leaching into the groundwater or fixation in the soil [3]. This fertilizers </w:t>
      </w:r>
      <w:r>
        <w:t>class ha</w:t>
      </w:r>
      <w:r>
        <w:t>s</w:t>
      </w:r>
      <w:r>
        <w:t xml:space="preserve"> a negatively im</w:t>
      </w:r>
      <w:r>
        <w:t>p</w:t>
      </w:r>
      <w:r>
        <w:t xml:space="preserve">act </w:t>
      </w:r>
      <w:r>
        <w:t xml:space="preserve">on </w:t>
      </w:r>
      <w:r w:rsidRPr="000316E6">
        <w:t>the</w:t>
      </w:r>
      <w:r w:rsidRPr="000316E6">
        <w:t xml:space="preserve"> environment</w:t>
      </w:r>
      <w:r>
        <w:t xml:space="preserve"> and are not economically efficien</w:t>
      </w:r>
      <w:r>
        <w:t>t</w:t>
      </w:r>
      <w:r w:rsidRPr="000316E6">
        <w:t>.</w:t>
      </w:r>
    </w:p>
    <w:p w:rsidR="00966AD0" w:rsidRDefault="00966AD0" w:rsidP="00966AD0">
      <w:pPr>
        <w:ind w:firstLine="426"/>
        <w:jc w:val="both"/>
      </w:pPr>
      <w:r w:rsidRPr="000316E6">
        <w:t xml:space="preserve">The aim of </w:t>
      </w:r>
      <w:r>
        <w:t>our</w:t>
      </w:r>
      <w:r w:rsidRPr="000316E6">
        <w:t xml:space="preserve"> project is to produce a new</w:t>
      </w:r>
      <w:r>
        <w:t xml:space="preserve"> generation of bio</w:t>
      </w:r>
      <w:r w:rsidRPr="000316E6">
        <w:t xml:space="preserve">fertilizers, using an </w:t>
      </w:r>
      <w:r>
        <w:t>eco</w:t>
      </w:r>
      <w:r w:rsidRPr="000316E6">
        <w:t>-friendly coating based on</w:t>
      </w:r>
      <w:r>
        <w:t xml:space="preserve"> biomass and </w:t>
      </w:r>
      <w:r w:rsidRPr="000316E6">
        <w:t>biopolymers</w:t>
      </w:r>
      <w:r>
        <w:t xml:space="preserve"> derived from biomass (cellulose, pectin, alginate, and chitin)</w:t>
      </w:r>
      <w:r w:rsidRPr="000316E6">
        <w:t xml:space="preserve">. These </w:t>
      </w:r>
      <w:r>
        <w:t>different produced bio</w:t>
      </w:r>
      <w:r w:rsidRPr="000316E6">
        <w:t xml:space="preserve">fertilizers are </w:t>
      </w:r>
      <w:r>
        <w:t xml:space="preserve">compared in term of </w:t>
      </w:r>
      <w:r w:rsidRPr="000316E6">
        <w:t xml:space="preserve">the soil fertility, </w:t>
      </w:r>
      <w:r>
        <w:t xml:space="preserve">the </w:t>
      </w:r>
      <w:r w:rsidRPr="000316E6">
        <w:t>physical propert</w:t>
      </w:r>
      <w:r>
        <w:t xml:space="preserve">ies, </w:t>
      </w:r>
      <w:r w:rsidRPr="000316E6">
        <w:t>the nutrient release rate</w:t>
      </w:r>
      <w:r>
        <w:t>,</w:t>
      </w:r>
      <w:r w:rsidRPr="000316E6">
        <w:t xml:space="preserve"> </w:t>
      </w:r>
      <w:r>
        <w:t xml:space="preserve">the </w:t>
      </w:r>
      <w:r w:rsidRPr="000316E6">
        <w:t>biodegrad</w:t>
      </w:r>
      <w:r>
        <w:t>ability</w:t>
      </w:r>
      <w:r w:rsidRPr="000316E6">
        <w:t xml:space="preserve"> in the soil after the total release</w:t>
      </w:r>
      <w:r>
        <w:t xml:space="preserve"> and the environmental impact</w:t>
      </w:r>
      <w:r w:rsidRPr="000316E6">
        <w:t>.</w:t>
      </w:r>
    </w:p>
    <w:p w:rsidR="00966AD0" w:rsidRDefault="00966AD0" w:rsidP="00966AD0">
      <w:pPr>
        <w:ind w:firstLine="426"/>
        <w:jc w:val="both"/>
      </w:pPr>
    </w:p>
    <w:p w:rsidR="00966AD0" w:rsidRDefault="00966AD0" w:rsidP="00966AD0">
      <w:pPr>
        <w:jc w:val="both"/>
      </w:pPr>
      <w:r w:rsidRPr="002630A7">
        <w:rPr>
          <w:b/>
        </w:rPr>
        <w:t xml:space="preserve">Keyword: </w:t>
      </w:r>
      <w:r w:rsidRPr="002630A7">
        <w:t xml:space="preserve">Biomass, Biopolymer, </w:t>
      </w:r>
      <w:r>
        <w:t>Bio</w:t>
      </w:r>
      <w:r w:rsidR="003B6698">
        <w:t xml:space="preserve">fertilizer, Coating, </w:t>
      </w:r>
      <w:r>
        <w:t>Fertility and biodegradability</w:t>
      </w:r>
    </w:p>
    <w:p w:rsidR="00966AD0" w:rsidRPr="002630A7" w:rsidRDefault="00966AD0" w:rsidP="00966AD0">
      <w:pPr>
        <w:ind w:firstLine="426"/>
        <w:jc w:val="both"/>
        <w:rPr>
          <w:b/>
        </w:rPr>
      </w:pPr>
    </w:p>
    <w:p w:rsidR="00966AD0" w:rsidRPr="006719DA" w:rsidRDefault="00966AD0" w:rsidP="00966AD0">
      <w:pPr>
        <w:jc w:val="both"/>
        <w:rPr>
          <w:b/>
        </w:rPr>
      </w:pPr>
      <w:r w:rsidRPr="006719DA">
        <w:rPr>
          <w:b/>
        </w:rPr>
        <w:t>References</w:t>
      </w:r>
    </w:p>
    <w:p w:rsidR="00966AD0" w:rsidRPr="00A13116" w:rsidRDefault="00966AD0" w:rsidP="00966AD0">
      <w:pPr>
        <w:tabs>
          <w:tab w:val="left" w:pos="5123"/>
        </w:tabs>
        <w:jc w:val="both"/>
        <w:rPr>
          <w:sz w:val="22"/>
          <w:szCs w:val="22"/>
        </w:rPr>
      </w:pPr>
      <w:r w:rsidRPr="00A13116">
        <w:rPr>
          <w:sz w:val="22"/>
          <w:szCs w:val="22"/>
        </w:rPr>
        <w:t xml:space="preserve">[1]: Santos et al, Chitosan-Montmorillonite microspheres: A sustainable fertilizer delivery system, </w:t>
      </w:r>
      <w:r w:rsidRPr="00A13116">
        <w:rPr>
          <w:i/>
          <w:sz w:val="22"/>
          <w:szCs w:val="22"/>
        </w:rPr>
        <w:t>Carbohydrate Polymers</w:t>
      </w:r>
      <w:r w:rsidRPr="00A13116">
        <w:rPr>
          <w:sz w:val="22"/>
          <w:szCs w:val="22"/>
        </w:rPr>
        <w:t xml:space="preserve"> 127 340–346, 2015.</w:t>
      </w:r>
    </w:p>
    <w:p w:rsidR="00EE5DD0" w:rsidRPr="00EE5DD0" w:rsidRDefault="00966AD0" w:rsidP="00EE5DD0">
      <w:pPr>
        <w:tabs>
          <w:tab w:val="left" w:pos="5123"/>
        </w:tabs>
        <w:jc w:val="both"/>
        <w:rPr>
          <w:sz w:val="22"/>
          <w:szCs w:val="22"/>
        </w:rPr>
      </w:pPr>
      <w:r w:rsidRPr="00A13116">
        <w:rPr>
          <w:sz w:val="22"/>
          <w:szCs w:val="22"/>
        </w:rPr>
        <w:t xml:space="preserve">[2]: </w:t>
      </w:r>
      <w:bookmarkStart w:id="0" w:name="_GoBack"/>
      <w:bookmarkEnd w:id="0"/>
      <w:r w:rsidR="00EE5DD0">
        <w:rPr>
          <w:sz w:val="22"/>
          <w:szCs w:val="22"/>
        </w:rPr>
        <w:t xml:space="preserve">Wu et al, </w:t>
      </w:r>
      <w:r w:rsidR="00EE5DD0" w:rsidRPr="00EE5DD0">
        <w:rPr>
          <w:sz w:val="22"/>
          <w:szCs w:val="22"/>
        </w:rPr>
        <w:t xml:space="preserve">Preparation and properties </w:t>
      </w:r>
      <w:r w:rsidR="00EE5DD0">
        <w:rPr>
          <w:sz w:val="22"/>
          <w:szCs w:val="22"/>
        </w:rPr>
        <w:t xml:space="preserve">of chitosan-coated NPK compound </w:t>
      </w:r>
      <w:r w:rsidR="00EE5DD0" w:rsidRPr="00EE5DD0">
        <w:rPr>
          <w:sz w:val="22"/>
          <w:szCs w:val="22"/>
        </w:rPr>
        <w:t>fertilizer with controlled-release and water-retention</w:t>
      </w:r>
      <w:r w:rsidR="00EE5DD0">
        <w:rPr>
          <w:sz w:val="22"/>
          <w:szCs w:val="22"/>
        </w:rPr>
        <w:t xml:space="preserve">, </w:t>
      </w:r>
      <w:r w:rsidR="00EE5DD0" w:rsidRPr="00EE5DD0">
        <w:rPr>
          <w:i/>
          <w:sz w:val="22"/>
          <w:szCs w:val="22"/>
        </w:rPr>
        <w:t>Carbohydrate Polymers</w:t>
      </w:r>
      <w:r w:rsidR="00EE5DD0">
        <w:rPr>
          <w:rFonts w:ascii="AdvEPSTIM" w:eastAsiaTheme="minorHAnsi" w:hAnsi="AdvEPSTIM" w:cs="AdvEPSTIM"/>
          <w:sz w:val="16"/>
          <w:szCs w:val="16"/>
          <w:lang w:eastAsia="en-US"/>
        </w:rPr>
        <w:t xml:space="preserve"> </w:t>
      </w:r>
      <w:r w:rsidR="00EE5DD0" w:rsidRPr="00EE5DD0">
        <w:rPr>
          <w:sz w:val="22"/>
          <w:szCs w:val="22"/>
        </w:rPr>
        <w:t xml:space="preserve">72 </w:t>
      </w:r>
      <w:r w:rsidR="00EE5DD0" w:rsidRPr="00EE5DD0">
        <w:rPr>
          <w:sz w:val="22"/>
          <w:szCs w:val="22"/>
        </w:rPr>
        <w:t>240–247</w:t>
      </w:r>
      <w:r w:rsidR="00EE5DD0" w:rsidRPr="00EE5DD0">
        <w:rPr>
          <w:sz w:val="22"/>
          <w:szCs w:val="22"/>
        </w:rPr>
        <w:t xml:space="preserve">, </w:t>
      </w:r>
      <w:r w:rsidR="00EE5DD0">
        <w:rPr>
          <w:sz w:val="22"/>
          <w:szCs w:val="22"/>
        </w:rPr>
        <w:t>2008.</w:t>
      </w:r>
    </w:p>
    <w:p w:rsidR="00966AD0" w:rsidRPr="00A13116" w:rsidRDefault="00966AD0" w:rsidP="00966AD0">
      <w:pPr>
        <w:autoSpaceDE w:val="0"/>
        <w:autoSpaceDN w:val="0"/>
        <w:adjustRightInd w:val="0"/>
        <w:jc w:val="both"/>
        <w:rPr>
          <w:sz w:val="22"/>
          <w:szCs w:val="22"/>
        </w:rPr>
      </w:pPr>
      <w:r w:rsidRPr="00A13116">
        <w:rPr>
          <w:sz w:val="22"/>
          <w:szCs w:val="22"/>
        </w:rPr>
        <w:t xml:space="preserve">[3]: Azeem et al, Review on Materials &amp; Methods to Produce Controlled Release Coated Urea Fertilizer, </w:t>
      </w:r>
      <w:r w:rsidRPr="00A13116">
        <w:rPr>
          <w:i/>
          <w:sz w:val="22"/>
          <w:szCs w:val="22"/>
        </w:rPr>
        <w:t>Journal of Controlled Release</w:t>
      </w:r>
      <w:r w:rsidRPr="00A13116">
        <w:rPr>
          <w:sz w:val="22"/>
          <w:szCs w:val="22"/>
        </w:rPr>
        <w:t xml:space="preserve"> 181 11–21, 2014.</w:t>
      </w:r>
    </w:p>
    <w:p w:rsidR="00966AD0" w:rsidRPr="0046106F" w:rsidRDefault="00966AD0" w:rsidP="00966AD0">
      <w:pPr>
        <w:autoSpaceDE w:val="0"/>
        <w:autoSpaceDN w:val="0"/>
        <w:adjustRightInd w:val="0"/>
        <w:jc w:val="both"/>
        <w:rPr>
          <w:sz w:val="22"/>
          <w:szCs w:val="22"/>
        </w:rPr>
      </w:pPr>
    </w:p>
    <w:p w:rsidR="00966AD0" w:rsidRDefault="00966AD0" w:rsidP="00966AD0">
      <w:pPr>
        <w:jc w:val="both"/>
        <w:rPr>
          <w:b/>
        </w:rPr>
      </w:pPr>
      <w:r w:rsidRPr="00732C88">
        <w:rPr>
          <w:b/>
        </w:rPr>
        <w:t>Biography</w:t>
      </w:r>
    </w:p>
    <w:p w:rsidR="00966AD0" w:rsidRPr="004D3180" w:rsidRDefault="00966AD0" w:rsidP="00966AD0">
      <w:pPr>
        <w:jc w:val="both"/>
      </w:pPr>
      <w:r>
        <w:t xml:space="preserve">Saloua is currently doing her PhD at the Center for Advanced Materials, </w:t>
      </w:r>
      <w:r w:rsidRPr="00C71329">
        <w:t>Mohammed VI Polytechnic University</w:t>
      </w:r>
      <w:r>
        <w:t xml:space="preserve">, in collaboration with the </w:t>
      </w:r>
      <w:r w:rsidRPr="0046106F">
        <w:t>National Institute of Agronomic Research</w:t>
      </w:r>
      <w:r>
        <w:t>. She works on biofertilizers based on biopolymers. She obtained her bachelor’s degree in physical and chemical sciences (2010). In 2015, she obtained her engineering degree in process, energy and environment (H</w:t>
      </w:r>
      <w:r w:rsidRPr="00EE3468">
        <w:t>ead of the </w:t>
      </w:r>
      <w:r>
        <w:t xml:space="preserve">class </w:t>
      </w:r>
      <w:r w:rsidRPr="00EE3468">
        <w:t xml:space="preserve">with the </w:t>
      </w:r>
      <w:r>
        <w:t>highest honor</w:t>
      </w:r>
      <w:r w:rsidRPr="00EE3468">
        <w:t>).</w:t>
      </w:r>
      <w:r>
        <w:t xml:space="preserve"> </w:t>
      </w:r>
    </w:p>
    <w:p w:rsidR="003E48C1" w:rsidRDefault="00EE5DD0"/>
    <w:sectPr w:rsidR="003E48C1" w:rsidSect="00A13116">
      <w:pgSz w:w="12240" w:h="15840"/>
      <w:pgMar w:top="14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dvEPSTIM">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AD0"/>
    <w:rsid w:val="00076196"/>
    <w:rsid w:val="003B6698"/>
    <w:rsid w:val="00905182"/>
    <w:rsid w:val="00966AD0"/>
    <w:rsid w:val="00E575F3"/>
    <w:rsid w:val="00EE5D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70D287-85C1-4C21-AFF4-248B7D850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6AD0"/>
    <w:pPr>
      <w:spacing w:after="0" w:line="240" w:lineRule="auto"/>
    </w:pPr>
    <w:rPr>
      <w:rFonts w:ascii="Times New Roman" w:eastAsia="Batang" w:hAnsi="Times New Roman" w:cs="Times New Roman"/>
      <w:sz w:val="24"/>
      <w:szCs w:val="24"/>
      <w:lang w:val="en-US" w:eastAsia="ko-K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413</Words>
  <Characters>2273</Characters>
  <Application>Microsoft Office Word</Application>
  <DocSecurity>0</DocSecurity>
  <Lines>18</Lines>
  <Paragraphs>5</Paragraphs>
  <ScaleCrop>false</ScaleCrop>
  <Company/>
  <LinksUpToDate>false</LinksUpToDate>
  <CharactersWithSpaces>2681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Saloua FERTAHI</dc:creator>
  <cp:keywords/>
  <dc:description/>
  <cp:lastModifiedBy>Saloua FERTAHI</cp:lastModifiedBy>
  <cp:revision>4</cp:revision>
  <dcterms:created xsi:type="dcterms:W3CDTF">2016-07-03T21:52:00Z</dcterms:created>
  <dcterms:modified xsi:type="dcterms:W3CDTF">2016-07-03T22:09:00Z</dcterms:modified>
</cp:coreProperties>
</file>