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Corpo"/>
        <w:spacing w:line="360" w:lineRule="auto"/>
        <w:jc w:val="center"/>
        <w:rPr>
          <w:b w:val="1"/>
          <w:bCs w:val="1"/>
        </w:rPr>
      </w:pPr>
      <w:r>
        <w:rPr>
          <w:b w:val="1"/>
          <w:bCs w:val="1"/>
          <w:rtl w:val="0"/>
          <w:lang w:val="pt-PT"/>
        </w:rPr>
        <w:t>DETERMINANTS FOR EARLY WEANING: AN INTEGRATIVE REVIEW</w:t>
      </w:r>
    </w:p>
    <w:p>
      <w:pPr>
        <w:pStyle w:val="Corpo"/>
        <w:jc w:val="both"/>
      </w:pPr>
    </w:p>
    <w:p>
      <w:pPr>
        <w:pStyle w:val="Corpo"/>
        <w:jc w:val="both"/>
        <w:rPr>
          <w:vertAlign w:val="superscript"/>
        </w:rPr>
      </w:pPr>
      <w:r>
        <w:rPr>
          <w:rtl w:val="0"/>
          <w:lang w:val="pt-PT"/>
        </w:rPr>
        <w:t>Carolinne Kilcia Caravalho Sena</w:t>
      </w:r>
      <w:r>
        <w:rPr>
          <w:rtl w:val="0"/>
          <w:lang w:val="pt-PT"/>
        </w:rPr>
        <w:t>, UNINOVAFAPI, BRASIL</w:t>
      </w:r>
    </w:p>
    <w:p>
      <w:pPr>
        <w:pStyle w:val="Corpo"/>
      </w:pPr>
      <w:r>
        <w:rPr>
          <w:rtl w:val="0"/>
          <w:lang w:val="pt-PT"/>
        </w:rPr>
        <w:t>Mayara Francisca Santos Gon</w:t>
      </w:r>
      <w:r>
        <w:rPr>
          <w:rtl w:val="0"/>
          <w:lang w:val="pt-PT"/>
        </w:rPr>
        <w:t>ç</w:t>
      </w:r>
      <w:r>
        <w:rPr>
          <w:rtl w:val="0"/>
          <w:lang w:val="pt-PT"/>
        </w:rPr>
        <w:t xml:space="preserve">alves, </w:t>
      </w:r>
      <w:r>
        <w:rPr>
          <w:rtl w:val="0"/>
        </w:rPr>
        <w:t>UNINOVAFAPI, BRASIL</w:t>
      </w:r>
    </w:p>
    <w:p>
      <w:pPr>
        <w:pStyle w:val="Corpo"/>
      </w:pPr>
      <w:r>
        <w:rPr>
          <w:rtl w:val="0"/>
          <w:lang w:val="pt-PT"/>
        </w:rPr>
        <w:t xml:space="preserve">Thalita Farias Vieira, </w:t>
      </w:r>
      <w:r>
        <w:rPr>
          <w:rtl w:val="0"/>
        </w:rPr>
        <w:t>UNINOVAFAPI, BRASIL</w:t>
      </w:r>
    </w:p>
    <w:p>
      <w:pPr>
        <w:pStyle w:val="Corpo"/>
      </w:pPr>
      <w:r>
        <w:rPr>
          <w:rtl w:val="0"/>
          <w:lang w:val="pt-PT"/>
        </w:rPr>
        <w:t xml:space="preserve">Magda Coeli Vitorino Sales, </w:t>
      </w:r>
      <w:r>
        <w:rPr>
          <w:rtl w:val="0"/>
        </w:rPr>
        <w:t>UNINOVAFAPI, BRASIL</w:t>
      </w:r>
    </w:p>
    <w:p>
      <w:pPr>
        <w:pStyle w:val="Corpo"/>
      </w:pPr>
      <w:r>
        <w:rPr>
          <w:rtl w:val="0"/>
          <w:lang w:val="pt-PT"/>
        </w:rPr>
        <w:t>Juliana Mac</w:t>
      </w:r>
      <w:r>
        <w:rPr>
          <w:rtl w:val="0"/>
          <w:lang w:val="pt-PT"/>
        </w:rPr>
        <w:t>ê</w:t>
      </w:r>
      <w:r>
        <w:rPr>
          <w:rtl w:val="0"/>
          <w:lang w:val="pt-PT"/>
        </w:rPr>
        <w:t>do Magalh</w:t>
      </w:r>
      <w:r>
        <w:rPr>
          <w:rtl w:val="0"/>
          <w:lang w:val="pt-PT"/>
        </w:rPr>
        <w:t>ã</w:t>
      </w:r>
      <w:r>
        <w:rPr>
          <w:rtl w:val="0"/>
          <w:lang w:val="pt-PT"/>
        </w:rPr>
        <w:t xml:space="preserve">es, </w:t>
      </w:r>
      <w:r>
        <w:rPr>
          <w:rtl w:val="0"/>
        </w:rPr>
        <w:t>UNINOVAFAPI, BRASIL</w:t>
      </w:r>
    </w:p>
    <w:p>
      <w:pPr>
        <w:pStyle w:val="Corpo"/>
      </w:pPr>
      <w:r>
        <w:rPr>
          <w:rtl w:val="0"/>
          <w:lang w:val="pt-PT"/>
        </w:rPr>
        <w:t>Cristina Maria Miranda de Sousa</w:t>
      </w:r>
      <w:r>
        <w:rPr>
          <w:rtl w:val="0"/>
          <w:lang w:val="pt-PT"/>
        </w:rPr>
        <w:t xml:space="preserve">, </w:t>
      </w:r>
      <w:r>
        <w:rPr>
          <w:rtl w:val="0"/>
        </w:rPr>
        <w:t>UNINOVAFAPI, BRASIL</w:t>
      </w:r>
    </w:p>
    <w:p>
      <w:pPr>
        <w:pStyle w:val="Corpo"/>
        <w:jc w:val="both"/>
      </w:pPr>
      <w:r>
        <w:rPr>
          <w:rtl w:val="0"/>
          <w:lang w:val="pt-PT"/>
        </w:rPr>
        <w:t>Davi Said Ara</w:t>
      </w:r>
      <w:r>
        <w:rPr>
          <w:rtl w:val="0"/>
          <w:lang w:val="pt-PT"/>
        </w:rPr>
        <w:t>ú</w:t>
      </w:r>
      <w:r>
        <w:rPr>
          <w:rtl w:val="0"/>
          <w:lang w:val="pt-PT"/>
        </w:rPr>
        <w:t>jo, UNIFOR, BRASIL</w:t>
      </w:r>
    </w:p>
    <w:p>
      <w:pPr>
        <w:pStyle w:val="Corpo"/>
        <w:jc w:val="both"/>
      </w:pPr>
      <w:r>
        <w:rPr>
          <w:rtl w:val="0"/>
          <w:lang w:val="pt-PT"/>
        </w:rPr>
        <w:t xml:space="preserve">Samara Karine Sena Fernandes Vieira, </w:t>
      </w:r>
      <w:r>
        <w:rPr>
          <w:rtl w:val="0"/>
        </w:rPr>
        <w:t>UNINOVAFAPI, BRASIL</w:t>
      </w:r>
    </w:p>
    <w:p>
      <w:pPr>
        <w:pStyle w:val="Corpo"/>
        <w:jc w:val="both"/>
      </w:pPr>
      <w:r>
        <w:rPr>
          <w:rtl w:val="0"/>
          <w:lang w:val="pt-PT"/>
        </w:rPr>
        <w:t>Ad</w:t>
      </w:r>
      <w:r>
        <w:rPr>
          <w:rtl w:val="0"/>
          <w:lang w:val="pt-PT"/>
        </w:rPr>
        <w:t>é</w:t>
      </w:r>
      <w:r>
        <w:rPr>
          <w:rtl w:val="0"/>
          <w:lang w:val="pt-PT"/>
        </w:rPr>
        <w:t xml:space="preserve">lia Dalva da Silva Oliveira, </w:t>
      </w:r>
      <w:r>
        <w:rPr>
          <w:rtl w:val="0"/>
        </w:rPr>
        <w:t>UNINOVAFAPI, BRASIL</w:t>
      </w:r>
    </w:p>
    <w:p>
      <w:pPr>
        <w:pStyle w:val="Corpo"/>
        <w:jc w:val="both"/>
      </w:pPr>
      <w:r>
        <w:rPr>
          <w:rtl w:val="0"/>
          <w:lang w:val="pt-PT"/>
        </w:rPr>
        <w:t xml:space="preserve">Eduardo Cairo Oliveira Cordeiro, </w:t>
      </w:r>
      <w:r>
        <w:rPr>
          <w:rtl w:val="0"/>
        </w:rPr>
        <w:t>UNINOVAFAPI, BRASIL</w:t>
      </w:r>
    </w:p>
    <w:p>
      <w:pPr>
        <w:pStyle w:val="Corpo"/>
        <w:jc w:val="both"/>
      </w:pPr>
      <w:r>
        <w:rPr>
          <w:rtl w:val="0"/>
          <w:lang w:val="pt-PT"/>
        </w:rPr>
        <w:t>Davi Lavor N</w:t>
      </w:r>
      <w:r>
        <w:rPr>
          <w:rtl w:val="0"/>
          <w:lang w:val="pt-PT"/>
        </w:rPr>
        <w:t>é</w:t>
      </w:r>
      <w:r>
        <w:rPr>
          <w:rtl w:val="0"/>
          <w:lang w:val="pt-PT"/>
        </w:rPr>
        <w:t xml:space="preserve">ri Rodrigues, </w:t>
      </w:r>
      <w:r>
        <w:rPr>
          <w:rtl w:val="0"/>
        </w:rPr>
        <w:t>UNINOVAFAPI, BRASIL</w:t>
      </w:r>
    </w:p>
    <w:p>
      <w:pPr>
        <w:pStyle w:val="Padrã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240" w:line="360" w:lineRule="atLeast"/>
        <w:ind w:left="0" w:right="0" w:firstLine="0"/>
        <w:jc w:val="left"/>
        <w:rPr>
          <w:rFonts w:ascii="Arial" w:cs="Arial" w:hAnsi="Arial" w:eastAsia="Arial"/>
          <w:sz w:val="32"/>
          <w:szCs w:val="32"/>
          <w:vertAlign w:val="superscript"/>
          <w:rtl w:val="0"/>
        </w:rPr>
      </w:pPr>
    </w:p>
    <w:p>
      <w:pPr>
        <w:pStyle w:val="Padrã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240" w:line="240" w:lineRule="atLeast"/>
        <w:ind w:left="0" w:right="0" w:firstLine="0"/>
        <w:jc w:val="both"/>
        <w:rPr>
          <w:rFonts w:ascii="Times New Roman" w:cs="Times New Roman" w:hAnsi="Times New Roman" w:eastAsia="Times New Roman"/>
          <w:b w:val="1"/>
          <w:bCs w:val="1"/>
          <w:sz w:val="24"/>
          <w:szCs w:val="24"/>
          <w:shd w:val="clear" w:color="auto" w:fill="ffffff"/>
          <w:rtl w:val="0"/>
        </w:rPr>
      </w:pPr>
      <w:r>
        <w:rPr>
          <w:rFonts w:ascii="Times New Roman" w:hAnsi="Times New Roman"/>
          <w:b w:val="1"/>
          <w:bCs w:val="1"/>
          <w:sz w:val="24"/>
          <w:szCs w:val="24"/>
          <w:shd w:val="clear" w:color="auto" w:fill="ffffff"/>
          <w:rtl w:val="0"/>
          <w:lang w:val="de-DE"/>
        </w:rPr>
        <w:t xml:space="preserve">ABSTRACT </w:t>
      </w:r>
    </w:p>
    <w:p>
      <w:pPr>
        <w:pStyle w:val="Padrã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240" w:line="240" w:lineRule="atLeast"/>
        <w:ind w:left="0" w:right="0" w:firstLine="0"/>
        <w:jc w:val="both"/>
        <w:rPr>
          <w:rFonts w:ascii="Times" w:cs="Times" w:hAnsi="Times" w:eastAsia="Times"/>
          <w:sz w:val="24"/>
          <w:szCs w:val="24"/>
          <w:shd w:val="clear" w:color="auto" w:fill="ffffff"/>
          <w:rtl w:val="0"/>
        </w:rPr>
      </w:pPr>
      <w:r>
        <w:rPr>
          <w:rFonts w:ascii="Times New Roman" w:hAnsi="Times New Roman"/>
          <w:sz w:val="24"/>
          <w:szCs w:val="24"/>
          <w:shd w:val="clear" w:color="auto" w:fill="ffffff"/>
          <w:rtl w:val="0"/>
          <w:lang w:val="en-US"/>
        </w:rPr>
        <w:t>Breastfeeding is a practice that presents several benefits for the mother and the baby, contributing to improve the bond of the binomial in the cognitive and physiological aspects. The objective of the present work is to characterize, through the scientific evidence, the determinants that contribute to the early weaning. The research is a literature review, whose electronic databases used were Scientific and Technical Literature of Latin America and the Caribbean (LILACS), Institute for Scientific Information - ISI Web of Science</w:t>
      </w:r>
      <w:r>
        <w:rPr>
          <w:rFonts w:ascii="Times New Roman" w:hAnsi="Times New Roman"/>
          <w:position w:val="16"/>
          <w:sz w:val="24"/>
          <w:szCs w:val="24"/>
          <w:shd w:val="clear" w:color="auto" w:fill="ffffff"/>
          <w:rtl w:val="0"/>
        </w:rPr>
        <w:t xml:space="preserve">tm </w:t>
      </w:r>
      <w:r>
        <w:rPr>
          <w:rFonts w:ascii="Times New Roman" w:hAnsi="Times New Roman"/>
          <w:sz w:val="24"/>
          <w:szCs w:val="24"/>
          <w:shd w:val="clear" w:color="auto" w:fill="ffffff"/>
          <w:rtl w:val="0"/>
          <w:lang w:val="en-US"/>
        </w:rPr>
        <w:t xml:space="preserve">e Cumulative Index to Nursing and Allied Health Literature (CINAHL) Complete. Inclusion criteria were original articles available in full with publication time cut in the years 2010 to 2016; Languages: English, Spanish and Portuguese. The following descriptors and their combinations were used: weaning, breastfeeding, nursing; As well as in English. As results of the refined search in the databases, 15 studies were identified, which were discussed for analysis purposes, whose results were grouped by thematic confluence and discussed in thematic categories, namely: insufficient milk production; Introduction of early food; End of maternity leave; And breast intercurrences. It can be concluded that the present study brings relevant information on the topics discussed, since it gathers them in bibliographical literature, demonstrating its importance and being a reference for future studies related to the subject. </w:t>
      </w:r>
    </w:p>
    <w:p>
      <w:pPr>
        <w:pStyle w:val="Padrã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color w:val="26272a"/>
          <w:sz w:val="24"/>
          <w:szCs w:val="24"/>
          <w:shd w:val="clear" w:color="auto" w:fill="ffffff"/>
          <w:rtl w:val="0"/>
        </w:rPr>
      </w:pPr>
    </w:p>
    <w:p>
      <w:pPr>
        <w:pStyle w:val="Corpo"/>
        <w:spacing w:line="360" w:lineRule="auto"/>
        <w:jc w:val="both"/>
      </w:pPr>
    </w:p>
    <w:p>
      <w:pPr>
        <w:pStyle w:val="Corpo"/>
      </w:pPr>
      <w:r>
        <w:rPr>
          <w:b w:val="1"/>
          <w:bCs w:val="1"/>
          <w:rtl w:val="0"/>
          <w:lang w:val="pt-PT"/>
        </w:rPr>
        <w:t>Recent Publications</w:t>
      </w:r>
    </w:p>
    <w:p>
      <w:pPr>
        <w:pStyle w:val="Padrã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240" w:line="360" w:lineRule="atLeast"/>
        <w:ind w:left="0" w:right="0" w:firstLine="0"/>
        <w:jc w:val="left"/>
        <w:rPr>
          <w:rFonts w:ascii="Times New Roman" w:cs="Times New Roman" w:hAnsi="Times New Roman" w:eastAsia="Times New Roman"/>
          <w:sz w:val="24"/>
          <w:szCs w:val="24"/>
          <w:rtl w:val="0"/>
        </w:rPr>
      </w:pPr>
      <w:r>
        <w:rPr>
          <w:rFonts w:ascii="Times New Roman" w:hAnsi="Times New Roman"/>
          <w:sz w:val="24"/>
          <w:szCs w:val="24"/>
          <w:rtl w:val="0"/>
          <w:lang w:val="pt-PT"/>
        </w:rPr>
        <w:t xml:space="preserve">1. </w:t>
      </w:r>
      <w:r>
        <w:rPr>
          <w:rFonts w:ascii="Times New Roman" w:hAnsi="Times New Roman"/>
          <w:sz w:val="24"/>
          <w:szCs w:val="24"/>
          <w:rtl w:val="0"/>
          <w:lang w:val="en-US"/>
        </w:rPr>
        <w:t xml:space="preserve">Barbieri, M. C., Bercini, L. O., de Melo Brondani, K. J., Ferrari, R. A. P., Tacla, M. T. G. M., &amp; Sant'anna, F. L. (2014). Breastfeeding: guidelines received during prenatal care, delivery and puerperium. </w:t>
      </w:r>
      <w:r>
        <w:rPr>
          <w:rFonts w:ascii="Times New Roman" w:hAnsi="Times New Roman"/>
          <w:i w:val="1"/>
          <w:iCs w:val="1"/>
          <w:sz w:val="24"/>
          <w:szCs w:val="24"/>
          <w:rtl w:val="0"/>
        </w:rPr>
        <w:t>Semina: Ci</w:t>
      </w:r>
      <w:r>
        <w:rPr>
          <w:rFonts w:ascii="Times New Roman" w:hAnsi="Times New Roman" w:hint="default"/>
          <w:i w:val="1"/>
          <w:iCs w:val="1"/>
          <w:sz w:val="24"/>
          <w:szCs w:val="24"/>
          <w:rtl w:val="0"/>
          <w:lang w:val="fr-FR"/>
        </w:rPr>
        <w:t>ê</w:t>
      </w:r>
      <w:r>
        <w:rPr>
          <w:rFonts w:ascii="Times New Roman" w:hAnsi="Times New Roman"/>
          <w:i w:val="1"/>
          <w:iCs w:val="1"/>
          <w:sz w:val="24"/>
          <w:szCs w:val="24"/>
          <w:rtl w:val="0"/>
          <w:lang w:val="pt-PT"/>
        </w:rPr>
        <w:t>ncias Biol</w:t>
      </w:r>
      <w:r>
        <w:rPr>
          <w:rFonts w:ascii="Times New Roman" w:hAnsi="Times New Roman" w:hint="default"/>
          <w:i w:val="1"/>
          <w:iCs w:val="1"/>
          <w:sz w:val="24"/>
          <w:szCs w:val="24"/>
          <w:rtl w:val="0"/>
          <w:lang w:val="es-ES_tradnl"/>
        </w:rPr>
        <w:t>ó</w:t>
      </w:r>
      <w:r>
        <w:rPr>
          <w:rFonts w:ascii="Times New Roman" w:hAnsi="Times New Roman"/>
          <w:i w:val="1"/>
          <w:iCs w:val="1"/>
          <w:sz w:val="24"/>
          <w:szCs w:val="24"/>
          <w:rtl w:val="0"/>
          <w:lang w:val="pt-PT"/>
        </w:rPr>
        <w:t>gicas e da Sa</w:t>
      </w:r>
      <w:r>
        <w:rPr>
          <w:rFonts w:ascii="Times New Roman" w:hAnsi="Times New Roman" w:hint="default"/>
          <w:i w:val="1"/>
          <w:iCs w:val="1"/>
          <w:sz w:val="24"/>
          <w:szCs w:val="24"/>
          <w:rtl w:val="0"/>
        </w:rPr>
        <w:t>ú</w:t>
      </w:r>
      <w:r>
        <w:rPr>
          <w:rFonts w:ascii="Times New Roman" w:hAnsi="Times New Roman"/>
          <w:i w:val="1"/>
          <w:iCs w:val="1"/>
          <w:sz w:val="24"/>
          <w:szCs w:val="24"/>
          <w:rtl w:val="0"/>
        </w:rPr>
        <w:t>de</w:t>
      </w:r>
      <w:r>
        <w:rPr>
          <w:rFonts w:ascii="Times New Roman" w:hAnsi="Times New Roman"/>
          <w:sz w:val="24"/>
          <w:szCs w:val="24"/>
          <w:rtl w:val="0"/>
        </w:rPr>
        <w:t xml:space="preserve">, </w:t>
      </w:r>
      <w:r>
        <w:rPr>
          <w:rFonts w:ascii="Times New Roman" w:hAnsi="Times New Roman"/>
          <w:i w:val="1"/>
          <w:iCs w:val="1"/>
          <w:sz w:val="24"/>
          <w:szCs w:val="24"/>
          <w:rtl w:val="0"/>
        </w:rPr>
        <w:t>36</w:t>
      </w:r>
      <w:r>
        <w:rPr>
          <w:rFonts w:ascii="Times New Roman" w:hAnsi="Times New Roman"/>
          <w:sz w:val="24"/>
          <w:szCs w:val="24"/>
          <w:rtl w:val="0"/>
        </w:rPr>
        <w:t>(1Supl), 17-24.</w:t>
      </w:r>
    </w:p>
    <w:p>
      <w:pPr>
        <w:pStyle w:val="Padrã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spacing w:after="240" w:line="360" w:lineRule="atLeast"/>
        <w:ind w:left="0" w:right="0" w:firstLine="0"/>
        <w:jc w:val="left"/>
        <w:rPr>
          <w:rFonts w:ascii="Times New Roman" w:cs="Times New Roman" w:hAnsi="Times New Roman" w:eastAsia="Times New Roman"/>
          <w:sz w:val="24"/>
          <w:szCs w:val="24"/>
          <w:rtl w:val="0"/>
        </w:rPr>
      </w:pPr>
      <w:r>
        <w:rPr>
          <w:rFonts w:ascii="Times New Roman" w:hAnsi="Times New Roman"/>
          <w:sz w:val="24"/>
          <w:szCs w:val="24"/>
          <w:rtl w:val="0"/>
          <w:lang w:val="pt-PT"/>
        </w:rPr>
        <w:t xml:space="preserve">2. </w:t>
      </w:r>
      <w:r>
        <w:rPr>
          <w:rFonts w:ascii="Times New Roman" w:hAnsi="Times New Roman"/>
          <w:sz w:val="24"/>
          <w:szCs w:val="24"/>
          <w:rtl w:val="0"/>
          <w:lang w:val="pt-PT"/>
        </w:rPr>
        <w:t>Barboza da Silva Maciel, V., Martins Silva, R. P., Sa</w:t>
      </w:r>
      <w:r>
        <w:rPr>
          <w:rFonts w:ascii="Times New Roman" w:hAnsi="Times New Roman" w:hint="default"/>
          <w:sz w:val="24"/>
          <w:szCs w:val="24"/>
          <w:rtl w:val="0"/>
          <w:lang w:val="es-ES_tradnl"/>
        </w:rPr>
        <w:t>ñ</w:t>
      </w:r>
      <w:r>
        <w:rPr>
          <w:rFonts w:ascii="Times New Roman" w:hAnsi="Times New Roman"/>
          <w:sz w:val="24"/>
          <w:szCs w:val="24"/>
          <w:rtl w:val="0"/>
          <w:lang w:val="pt-PT"/>
        </w:rPr>
        <w:t>udo, A., de S</w:t>
      </w:r>
      <w:r>
        <w:rPr>
          <w:rFonts w:ascii="Times New Roman" w:hAnsi="Times New Roman" w:hint="default"/>
          <w:sz w:val="24"/>
          <w:szCs w:val="24"/>
          <w:rtl w:val="0"/>
        </w:rPr>
        <w:t xml:space="preserve">á </w:t>
      </w:r>
      <w:r>
        <w:rPr>
          <w:rFonts w:ascii="Times New Roman" w:hAnsi="Times New Roman"/>
          <w:sz w:val="24"/>
          <w:szCs w:val="24"/>
          <w:rtl w:val="0"/>
          <w:lang w:val="pt-PT"/>
        </w:rPr>
        <w:t>Vieira Abuchaim, E., &amp; Freitas de Vilhena Abr</w:t>
      </w:r>
      <w:r>
        <w:rPr>
          <w:rFonts w:ascii="Times New Roman" w:hAnsi="Times New Roman" w:hint="default"/>
          <w:sz w:val="24"/>
          <w:szCs w:val="24"/>
          <w:rtl w:val="0"/>
          <w:lang w:val="pt-PT"/>
        </w:rPr>
        <w:t>ã</w:t>
      </w:r>
      <w:r>
        <w:rPr>
          <w:rFonts w:ascii="Times New Roman" w:hAnsi="Times New Roman"/>
          <w:sz w:val="24"/>
          <w:szCs w:val="24"/>
          <w:rtl w:val="0"/>
          <w:lang w:val="en-US"/>
        </w:rPr>
        <w:t xml:space="preserve">o, A. C. (2016). Breastfeeding in indigenous children of two municipalities of the Brazilian Western Amazon. </w:t>
      </w:r>
      <w:r>
        <w:rPr>
          <w:rFonts w:ascii="Times New Roman" w:hAnsi="Times New Roman"/>
          <w:i w:val="1"/>
          <w:iCs w:val="1"/>
          <w:sz w:val="24"/>
          <w:szCs w:val="24"/>
          <w:rtl w:val="0"/>
          <w:lang w:val="pt-PT"/>
        </w:rPr>
        <w:t>Acta Paulista de Enfermagem</w:t>
      </w:r>
      <w:r>
        <w:rPr>
          <w:rFonts w:ascii="Times New Roman" w:hAnsi="Times New Roman"/>
          <w:sz w:val="24"/>
          <w:szCs w:val="24"/>
          <w:rtl w:val="0"/>
        </w:rPr>
        <w:t xml:space="preserve">, </w:t>
      </w:r>
      <w:r>
        <w:rPr>
          <w:rFonts w:ascii="Times New Roman" w:hAnsi="Times New Roman"/>
          <w:i w:val="1"/>
          <w:iCs w:val="1"/>
          <w:sz w:val="24"/>
          <w:szCs w:val="24"/>
          <w:rtl w:val="0"/>
        </w:rPr>
        <w:t>29</w:t>
      </w:r>
      <w:r>
        <w:rPr>
          <w:rFonts w:ascii="Times New Roman" w:hAnsi="Times New Roman"/>
          <w:sz w:val="24"/>
          <w:szCs w:val="24"/>
          <w:rtl w:val="0"/>
        </w:rPr>
        <w:t>(4).</w:t>
      </w:r>
    </w:p>
    <w:p>
      <w:pPr>
        <w:pStyle w:val="Padrã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color w:val="212121"/>
          <w:sz w:val="24"/>
          <w:szCs w:val="24"/>
          <w:shd w:val="clear" w:color="auto" w:fill="ffffff"/>
          <w:rtl w:val="0"/>
        </w:rPr>
      </w:pPr>
      <w:r>
        <w:rPr>
          <w:rFonts w:ascii="Times New Roman" w:hAnsi="Times New Roman"/>
          <w:color w:val="212121"/>
          <w:sz w:val="24"/>
          <w:szCs w:val="24"/>
          <w:shd w:val="clear" w:color="auto" w:fill="ffffff"/>
          <w:rtl w:val="0"/>
          <w:lang w:val="pt-PT"/>
        </w:rPr>
        <w:t xml:space="preserve">3. </w:t>
      </w:r>
      <w:r>
        <w:rPr>
          <w:rFonts w:ascii="Times New Roman" w:hAnsi="Times New Roman"/>
          <w:color w:val="212121"/>
          <w:sz w:val="24"/>
          <w:szCs w:val="24"/>
          <w:shd w:val="clear" w:color="auto" w:fill="ffffff"/>
          <w:rtl w:val="0"/>
          <w:lang w:val="en-US"/>
        </w:rPr>
        <w:t xml:space="preserve">Santos, S. S., Santos, N. A., Souza, M. R., &amp; da Costa Barcelos, I. S. (2013). Health education in the waiting room: an approach to breastfeeding. </w:t>
      </w:r>
      <w:r>
        <w:rPr>
          <w:rFonts w:ascii="Times New Roman" w:hAnsi="Times New Roman"/>
          <w:i w:val="1"/>
          <w:iCs w:val="1"/>
          <w:color w:val="212121"/>
          <w:sz w:val="24"/>
          <w:szCs w:val="24"/>
          <w:shd w:val="clear" w:color="auto" w:fill="ffffff"/>
          <w:rtl w:val="0"/>
          <w:lang w:val="pt-PT"/>
        </w:rPr>
        <w:t>Em Extens</w:t>
      </w:r>
      <w:r>
        <w:rPr>
          <w:rFonts w:ascii="Times New Roman" w:hAnsi="Times New Roman" w:hint="default"/>
          <w:i w:val="1"/>
          <w:iCs w:val="1"/>
          <w:color w:val="212121"/>
          <w:sz w:val="24"/>
          <w:szCs w:val="24"/>
          <w:shd w:val="clear" w:color="auto" w:fill="ffffff"/>
          <w:rtl w:val="0"/>
          <w:lang w:val="pt-PT"/>
        </w:rPr>
        <w:t>ã</w:t>
      </w:r>
      <w:r>
        <w:rPr>
          <w:rFonts w:ascii="Times New Roman" w:hAnsi="Times New Roman"/>
          <w:i w:val="1"/>
          <w:iCs w:val="1"/>
          <w:color w:val="212121"/>
          <w:sz w:val="24"/>
          <w:szCs w:val="24"/>
          <w:shd w:val="clear" w:color="auto" w:fill="ffffff"/>
          <w:rtl w:val="0"/>
        </w:rPr>
        <w:t>o</w:t>
      </w:r>
      <w:r>
        <w:rPr>
          <w:rFonts w:ascii="Times New Roman" w:hAnsi="Times New Roman"/>
          <w:color w:val="212121"/>
          <w:sz w:val="24"/>
          <w:szCs w:val="24"/>
          <w:shd w:val="clear" w:color="auto" w:fill="ffffff"/>
          <w:rtl w:val="0"/>
        </w:rPr>
        <w:t xml:space="preserve">, </w:t>
      </w:r>
      <w:r>
        <w:rPr>
          <w:rFonts w:ascii="Times New Roman" w:hAnsi="Times New Roman"/>
          <w:i w:val="1"/>
          <w:iCs w:val="1"/>
          <w:color w:val="212121"/>
          <w:sz w:val="24"/>
          <w:szCs w:val="24"/>
          <w:shd w:val="clear" w:color="auto" w:fill="ffffff"/>
          <w:rtl w:val="0"/>
        </w:rPr>
        <w:t>12</w:t>
      </w:r>
      <w:r>
        <w:rPr>
          <w:rFonts w:ascii="Times New Roman" w:hAnsi="Times New Roman"/>
          <w:color w:val="212121"/>
          <w:sz w:val="24"/>
          <w:szCs w:val="24"/>
          <w:shd w:val="clear" w:color="auto" w:fill="ffffff"/>
          <w:rtl w:val="0"/>
        </w:rPr>
        <w:t>(1).</w:t>
      </w:r>
    </w:p>
    <w:p>
      <w:pPr>
        <w:pStyle w:val="Padrã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color w:val="212121"/>
          <w:sz w:val="24"/>
          <w:szCs w:val="24"/>
          <w:shd w:val="clear" w:color="auto" w:fill="ffffff"/>
          <w:rtl w:val="0"/>
        </w:rPr>
      </w:pPr>
    </w:p>
    <w:p>
      <w:pPr>
        <w:pStyle w:val="Padrã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color w:val="212121"/>
          <w:sz w:val="24"/>
          <w:szCs w:val="24"/>
          <w:shd w:val="clear" w:color="auto" w:fill="ffffff"/>
          <w:rtl w:val="0"/>
        </w:rPr>
      </w:pPr>
      <w:r>
        <w:rPr>
          <w:rFonts w:ascii="Times New Roman" w:hAnsi="Times New Roman"/>
          <w:color w:val="212121"/>
          <w:sz w:val="24"/>
          <w:szCs w:val="24"/>
          <w:shd w:val="clear" w:color="auto" w:fill="ffffff"/>
          <w:rtl w:val="0"/>
          <w:lang w:val="pt-PT"/>
        </w:rPr>
        <w:t xml:space="preserve">4. </w:t>
      </w:r>
      <w:r>
        <w:rPr>
          <w:rFonts w:ascii="Times New Roman" w:hAnsi="Times New Roman"/>
          <w:color w:val="212121"/>
          <w:sz w:val="24"/>
          <w:szCs w:val="24"/>
          <w:shd w:val="clear" w:color="auto" w:fill="ffffff"/>
          <w:rtl w:val="0"/>
          <w:lang w:val="en-US"/>
        </w:rPr>
        <w:t xml:space="preserve">Stephan, A. M. S., Cavada, M. N., &amp; Vilela, C. Z. (2012). Prevalence of exclusive breastfeeding up to the age of six months and associated maternal characteristics, in the area covered by the Family Health Unit in the city of Pelotas, state of Rio Grande do Sul, Brazil, 2010. </w:t>
      </w:r>
      <w:r>
        <w:rPr>
          <w:rFonts w:ascii="Times New Roman" w:hAnsi="Times New Roman"/>
          <w:i w:val="1"/>
          <w:iCs w:val="1"/>
          <w:color w:val="212121"/>
          <w:sz w:val="24"/>
          <w:szCs w:val="24"/>
          <w:shd w:val="clear" w:color="auto" w:fill="ffffff"/>
          <w:rtl w:val="0"/>
          <w:lang w:val="it-IT"/>
        </w:rPr>
        <w:t>Epidemiologia e Servi</w:t>
      </w:r>
      <w:r>
        <w:rPr>
          <w:rFonts w:ascii="Times New Roman" w:hAnsi="Times New Roman" w:hint="default"/>
          <w:i w:val="1"/>
          <w:iCs w:val="1"/>
          <w:color w:val="212121"/>
          <w:sz w:val="24"/>
          <w:szCs w:val="24"/>
          <w:shd w:val="clear" w:color="auto" w:fill="ffffff"/>
          <w:rtl w:val="0"/>
          <w:lang w:val="pt-PT"/>
        </w:rPr>
        <w:t>ç</w:t>
      </w:r>
      <w:r>
        <w:rPr>
          <w:rFonts w:ascii="Times New Roman" w:hAnsi="Times New Roman"/>
          <w:i w:val="1"/>
          <w:iCs w:val="1"/>
          <w:color w:val="212121"/>
          <w:sz w:val="24"/>
          <w:szCs w:val="24"/>
          <w:shd w:val="clear" w:color="auto" w:fill="ffffff"/>
          <w:rtl w:val="0"/>
          <w:lang w:val="pt-PT"/>
        </w:rPr>
        <w:t>os de Sa</w:t>
      </w:r>
      <w:r>
        <w:rPr>
          <w:rFonts w:ascii="Times New Roman" w:hAnsi="Times New Roman" w:hint="default"/>
          <w:i w:val="1"/>
          <w:iCs w:val="1"/>
          <w:color w:val="212121"/>
          <w:sz w:val="24"/>
          <w:szCs w:val="24"/>
          <w:shd w:val="clear" w:color="auto" w:fill="ffffff"/>
          <w:rtl w:val="0"/>
        </w:rPr>
        <w:t>ú</w:t>
      </w:r>
      <w:r>
        <w:rPr>
          <w:rFonts w:ascii="Times New Roman" w:hAnsi="Times New Roman"/>
          <w:i w:val="1"/>
          <w:iCs w:val="1"/>
          <w:color w:val="212121"/>
          <w:sz w:val="24"/>
          <w:szCs w:val="24"/>
          <w:shd w:val="clear" w:color="auto" w:fill="ffffff"/>
          <w:rtl w:val="0"/>
        </w:rPr>
        <w:t>de</w:t>
      </w:r>
      <w:r>
        <w:rPr>
          <w:rFonts w:ascii="Times New Roman" w:hAnsi="Times New Roman"/>
          <w:color w:val="212121"/>
          <w:sz w:val="24"/>
          <w:szCs w:val="24"/>
          <w:shd w:val="clear" w:color="auto" w:fill="ffffff"/>
          <w:rtl w:val="0"/>
        </w:rPr>
        <w:t xml:space="preserve">, </w:t>
      </w:r>
      <w:r>
        <w:rPr>
          <w:rFonts w:ascii="Times New Roman" w:hAnsi="Times New Roman"/>
          <w:i w:val="1"/>
          <w:iCs w:val="1"/>
          <w:color w:val="212121"/>
          <w:sz w:val="24"/>
          <w:szCs w:val="24"/>
          <w:shd w:val="clear" w:color="auto" w:fill="ffffff"/>
          <w:rtl w:val="0"/>
        </w:rPr>
        <w:t>21</w:t>
      </w:r>
      <w:r>
        <w:rPr>
          <w:rFonts w:ascii="Times New Roman" w:hAnsi="Times New Roman"/>
          <w:color w:val="212121"/>
          <w:sz w:val="24"/>
          <w:szCs w:val="24"/>
          <w:shd w:val="clear" w:color="auto" w:fill="ffffff"/>
          <w:rtl w:val="0"/>
        </w:rPr>
        <w:t>(3), 431-438.</w:t>
      </w:r>
    </w:p>
    <w:p>
      <w:pPr>
        <w:pStyle w:val="Padrã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Times New Roman" w:cs="Times New Roman" w:hAnsi="Times New Roman" w:eastAsia="Times New Roman"/>
          <w:color w:val="212121"/>
          <w:sz w:val="24"/>
          <w:szCs w:val="24"/>
          <w:shd w:val="clear" w:color="auto" w:fill="ffffff"/>
          <w:rtl w:val="0"/>
        </w:rPr>
      </w:pPr>
    </w:p>
    <w:p>
      <w:pPr>
        <w:pStyle w:val="Corpo"/>
        <w:spacing w:line="276" w:lineRule="auto"/>
      </w:pPr>
      <w:r>
        <w:rPr>
          <w:rtl w:val="0"/>
          <w:lang w:val="pt-PT"/>
        </w:rPr>
        <w:t xml:space="preserve">5.  </w:t>
      </w:r>
      <w:r>
        <w:rPr>
          <w:rtl w:val="0"/>
          <w:lang w:val="en-US"/>
        </w:rPr>
        <w:t xml:space="preserve">Teixeira, M. A., Nitschke, R. G., &amp; da Silva, L. W. S. (2011). The practice of breastfeeding in the family routine - an intergenerational context influenced by women-grandparents. </w:t>
      </w:r>
      <w:r>
        <w:rPr>
          <w:i w:val="1"/>
          <w:iCs w:val="1"/>
          <w:rtl w:val="0"/>
          <w:lang w:val="pt-PT"/>
        </w:rPr>
        <w:t>Revista Kair</w:t>
      </w:r>
      <w:r>
        <w:rPr>
          <w:i w:val="1"/>
          <w:iCs w:val="1"/>
          <w:rtl w:val="0"/>
          <w:lang w:val="es-ES_tradnl"/>
        </w:rPr>
        <w:t>ó</w:t>
      </w:r>
      <w:r>
        <w:rPr>
          <w:i w:val="1"/>
          <w:iCs w:val="1"/>
          <w:rtl w:val="0"/>
          <w:lang w:val="it-IT"/>
        </w:rPr>
        <w:t>s: Gerontologia</w:t>
      </w:r>
      <w:r>
        <w:rPr>
          <w:rtl w:val="0"/>
        </w:rPr>
        <w:t xml:space="preserve">, </w:t>
      </w:r>
      <w:r>
        <w:rPr>
          <w:i w:val="1"/>
          <w:iCs w:val="1"/>
          <w:rtl w:val="0"/>
        </w:rPr>
        <w:t>14</w:t>
      </w:r>
      <w:r>
        <w:rPr>
          <w:rtl w:val="0"/>
        </w:rPr>
        <w:t>, 205-221.</w:t>
      </w:r>
    </w:p>
    <w:p>
      <w:pPr>
        <w:pStyle w:val="Padrã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bidi w:val="0"/>
        <w:ind w:left="0" w:right="0" w:firstLine="0"/>
        <w:jc w:val="left"/>
        <w:rPr>
          <w:rFonts w:ascii="Arial" w:cs="Arial" w:hAnsi="Arial" w:eastAsia="Arial"/>
          <w:color w:val="212121"/>
          <w:sz w:val="26"/>
          <w:szCs w:val="26"/>
          <w:shd w:val="clear" w:color="auto" w:fill="ffffff"/>
          <w:rtl w:val="0"/>
        </w:rPr>
      </w:pPr>
    </w:p>
    <w:p>
      <w:pPr>
        <w:pStyle w:val="Corpo"/>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val="0"/>
        <w:spacing w:before="92"/>
        <w:ind w:right="4234"/>
        <w:jc w:val="both"/>
        <w:rPr>
          <w:b w:val="1"/>
          <w:bCs w:val="1"/>
          <w:kern w:val="0"/>
        </w:rPr>
      </w:pPr>
      <w:r>
        <w:rPr>
          <w:b w:val="1"/>
          <w:bCs w:val="1"/>
          <w:kern w:val="0"/>
          <w:u w:color="bf5a14"/>
          <w:rtl w:val="0"/>
          <w:lang w:val="fr-FR"/>
        </w:rPr>
        <w:t>Biography</w:t>
      </w:r>
    </w:p>
    <w:p>
      <w:pPr>
        <w:pStyle w:val="Corpo"/>
        <w:spacing w:line="276" w:lineRule="auto"/>
        <w:jc w:val="both"/>
      </w:pPr>
      <w:r>
        <w:rPr>
          <w:rtl w:val="0"/>
          <w:lang w:val="pt-PT"/>
        </w:rPr>
        <w:t xml:space="preserve">Carolinne Sena </w:t>
      </w:r>
      <w:r>
        <w:rPr>
          <w:rtl w:val="0"/>
          <w:lang w:val="en-US"/>
        </w:rPr>
        <w:t>Graduated in NURSING by the Faculty of Health, Humanities and Technological Sciences of Piau</w:t>
      </w:r>
      <w:r>
        <w:rPr>
          <w:rtl w:val="0"/>
        </w:rPr>
        <w:t xml:space="preserve">í </w:t>
      </w:r>
      <w:r>
        <w:rPr>
          <w:rtl w:val="0"/>
          <w:lang w:val="en-US"/>
        </w:rPr>
        <w:t>(2008) and graduation in ADVERTISING by the Center of Unified Education of Teresina (2002). She is currently Coordinator of the Center for Continuing Education and Maternal Health Practices Dona Evangelina Rosa (MDER), member of the Research Ethics Committee of MDER and is a professor of the nursing course of UNINOVAFAPI University Center. PhD student in Biomedical Engineering, University of Vale do Para</w:t>
      </w:r>
      <w:r>
        <w:rPr>
          <w:rtl w:val="0"/>
        </w:rPr>
        <w:t>í</w:t>
      </w:r>
      <w:r>
        <w:rPr>
          <w:rtl w:val="0"/>
          <w:lang w:val="en-US"/>
        </w:rPr>
        <w:t>ba (UNIVAP). She is a Master in Family Health at the Uninovafapi University Center and holds a postgraduate degree in Collective Health and Family Health (2007) from Cruzeiro do Sul University and a postgraduate degree in Marketing (2004) from Universidade Federal do Piau</w:t>
      </w:r>
      <w:r>
        <w:rPr>
          <w:rtl w:val="0"/>
        </w:rPr>
        <w:t>í</w:t>
      </w:r>
      <w:r>
        <w:rPr>
          <w:rtl w:val="0"/>
        </w:rPr>
        <w:t>.</w:t>
      </w:r>
    </w:p>
    <w:sectPr>
      <w:headerReference w:type="default" r:id="rId4"/>
      <w:footerReference w:type="default" r:id="rId5"/>
      <w:pgSz w:w="11900" w:h="16840" w:orient="portrait"/>
      <w:pgMar w:top="1701" w:right="1134" w:bottom="1134" w:left="1701"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Times">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orpo"/>
      <w:jc w:val="both"/>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Cabeçalho e Rodapé"/>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8"/>
  <w:autoHyphenation w:val="0"/>
  <w:evenAndOddHeaders w:val="0"/>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Cabeçalho e Rodapé">
    <w:name w:val="Cabeçalho e Rodapé"/>
    <w:next w:val="Cabeçalho e Rodapé"/>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Corpo">
    <w:name w:val="Corpo"/>
    <w:next w:val="Corpo"/>
    <w:pPr>
      <w:keepNext w:val="0"/>
      <w:keepLines w:val="0"/>
      <w:pageBreakBefore w:val="0"/>
      <w:widowControl w:val="0"/>
      <w:shd w:val="clear" w:color="auto" w:fill="auto"/>
      <w:suppressAutoHyphens w:val="1"/>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1"/>
      <w:position w:val="0"/>
      <w:sz w:val="24"/>
      <w:szCs w:val="24"/>
      <w:u w:val="none" w:color="000000"/>
      <w:vertAlign w:val="baseline"/>
    </w:rPr>
  </w:style>
  <w:style w:type="paragraph" w:styleId="Padrão">
    <w:name w:val="Padrão"/>
    <w:next w:val="Padrã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2"/>
      <w:szCs w:val="22"/>
      <w:u w:val="none"/>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Tema do Office">
  <a:themeElements>
    <a:clrScheme name="Tema do 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Tema do Office">
      <a:majorFont>
        <a:latin typeface="Helvetica Neue"/>
        <a:ea typeface="Helvetica Neue"/>
        <a:cs typeface="Helvetica Neue"/>
      </a:majorFont>
      <a:minorFont>
        <a:latin typeface="Helvetica Neue"/>
        <a:ea typeface="Helvetica Neue"/>
        <a:cs typeface="Helvetica Neue"/>
      </a:minorFont>
    </a:fontScheme>
    <a:fmtScheme name="Tema do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