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BD675" w14:textId="77777777" w:rsidR="000201FE" w:rsidRPr="00AD3B53" w:rsidRDefault="000201FE" w:rsidP="000201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Oral b</w:t>
      </w:r>
      <w:r w:rsidRPr="00AD3B53">
        <w:rPr>
          <w:rFonts w:ascii="Times New Roman" w:hAnsi="Times New Roman" w:cs="Times New Roman"/>
          <w:b/>
          <w:bCs/>
          <w:sz w:val="24"/>
          <w:szCs w:val="24"/>
        </w:rPr>
        <w:t xml:space="preserve">ioaccessibility and Mutagenicity of </w:t>
      </w:r>
      <w:r>
        <w:rPr>
          <w:rFonts w:ascii="Times New Roman" w:hAnsi="Times New Roman" w:cs="Times New Roman"/>
          <w:b/>
          <w:bCs/>
          <w:sz w:val="24"/>
          <w:szCs w:val="24"/>
        </w:rPr>
        <w:t>Benzo[a]pyrene-</w:t>
      </w:r>
      <w:r w:rsidRPr="00AD3B53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Phenazine-amended</w:t>
      </w:r>
      <w:r w:rsidRPr="00AD3B53">
        <w:rPr>
          <w:rFonts w:ascii="Times New Roman" w:hAnsi="Times New Roman" w:cs="Times New Roman"/>
          <w:b/>
          <w:bCs/>
          <w:sz w:val="24"/>
          <w:szCs w:val="24"/>
        </w:rPr>
        <w:t xml:space="preserve"> soil</w:t>
      </w:r>
    </w:p>
    <w:p w14:paraId="5D8F3C11" w14:textId="77777777" w:rsidR="000201FE" w:rsidRDefault="000201FE" w:rsidP="00020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4620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Emmanuel A. A</w:t>
      </w:r>
      <w:r w:rsidRPr="0046205F">
        <w:rPr>
          <w:rFonts w:ascii="Times New Roman" w:hAnsi="Times New Roman" w:cs="Times New Roman"/>
          <w:sz w:val="24"/>
          <w:szCs w:val="24"/>
        </w:rPr>
        <w:t>wulu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205F">
        <w:rPr>
          <w:rFonts w:ascii="Times New Roman" w:hAnsi="Times New Roman" w:cs="Times New Roman"/>
          <w:sz w:val="24"/>
          <w:szCs w:val="24"/>
        </w:rPr>
        <w:t xml:space="preserve">,  </w:t>
      </w:r>
      <w:r w:rsidRPr="0046205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Graeme I. Paton., </w:t>
      </w:r>
      <w:r w:rsidRPr="004A5C8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Jeremy M. S</w:t>
      </w:r>
      <w:r w:rsidRPr="0046205F">
        <w:rPr>
          <w:rFonts w:ascii="Times New Roman" w:hAnsi="Times New Roman" w:cs="Times New Roman"/>
          <w:sz w:val="24"/>
          <w:szCs w:val="24"/>
        </w:rPr>
        <w:t>ternberg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205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0031CA" w14:textId="77777777" w:rsidR="000201FE" w:rsidRPr="00663A17" w:rsidRDefault="000201FE" w:rsidP="000201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3A1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663A17">
        <w:rPr>
          <w:rFonts w:ascii="Times New Roman" w:hAnsi="Times New Roman" w:cs="Times New Roman"/>
          <w:sz w:val="20"/>
          <w:szCs w:val="20"/>
        </w:rPr>
        <w:t>Department of Biological Sciences, Federal University Lokoja, Kogi State. Nigeria</w:t>
      </w:r>
    </w:p>
    <w:p w14:paraId="3182F584" w14:textId="77777777" w:rsidR="000201FE" w:rsidRPr="00663A17" w:rsidRDefault="000201FE" w:rsidP="000201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3A17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663A17">
        <w:rPr>
          <w:rFonts w:ascii="Times New Roman" w:hAnsi="Times New Roman" w:cs="Times New Roman"/>
          <w:sz w:val="20"/>
          <w:szCs w:val="20"/>
        </w:rPr>
        <w:t>School of Biological Sciences, University of Aberdeen, Scotland. UK</w:t>
      </w:r>
    </w:p>
    <w:p w14:paraId="7025E993" w14:textId="77777777" w:rsidR="00372775" w:rsidRDefault="00372775" w:rsidP="000201FE">
      <w:pPr>
        <w:ind w:firstLine="680"/>
        <w:rPr>
          <w:rFonts w:ascii="Times New Roman" w:hAnsi="Times New Roman" w:cs="Times New Roman"/>
          <w:b/>
          <w:bCs/>
        </w:rPr>
      </w:pPr>
    </w:p>
    <w:p w14:paraId="094FEC63" w14:textId="5A2C4A29" w:rsidR="00372775" w:rsidRDefault="00372775" w:rsidP="000201FE">
      <w:pPr>
        <w:ind w:firstLine="680"/>
        <w:rPr>
          <w:rFonts w:ascii="Times New Roman" w:hAnsi="Times New Roman" w:cs="Times New Roman"/>
          <w:b/>
          <w:bCs/>
        </w:rPr>
        <w:sectPr w:rsidR="0037277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118859" w14:textId="77777777" w:rsidR="000201FE" w:rsidRDefault="000201FE" w:rsidP="0037277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Abstract</w:t>
      </w:r>
    </w:p>
    <w:p w14:paraId="07359B96" w14:textId="77777777" w:rsidR="00372775" w:rsidRDefault="008C231F" w:rsidP="003727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research on </w:t>
      </w:r>
      <w:r w:rsidR="000201FE" w:rsidRPr="00D41867">
        <w:rPr>
          <w:rFonts w:ascii="Times New Roman" w:hAnsi="Times New Roman" w:cs="Times New Roman"/>
        </w:rPr>
        <w:t xml:space="preserve">oral bioaccessibility and biological consequences of polycyclic aromatic hydrocarbons (PAHs) and nitro-polycyclic aromatic hydrocarbons (NPAHs) in </w:t>
      </w:r>
      <w:r w:rsidR="0023581B">
        <w:rPr>
          <w:rFonts w:ascii="Times New Roman" w:hAnsi="Times New Roman" w:cs="Times New Roman"/>
        </w:rPr>
        <w:t xml:space="preserve">polluted </w:t>
      </w:r>
      <w:r w:rsidR="000201FE" w:rsidRPr="00D41867">
        <w:rPr>
          <w:rFonts w:ascii="Times New Roman" w:hAnsi="Times New Roman" w:cs="Times New Roman"/>
        </w:rPr>
        <w:t>soil</w:t>
      </w:r>
      <w:r w:rsidR="000201FE">
        <w:rPr>
          <w:rFonts w:ascii="Times New Roman" w:hAnsi="Times New Roman" w:cs="Times New Roman"/>
        </w:rPr>
        <w:t xml:space="preserve"> </w:t>
      </w:r>
      <w:r w:rsidR="008D7CA9">
        <w:rPr>
          <w:rFonts w:ascii="Times New Roman" w:hAnsi="Times New Roman" w:cs="Times New Roman"/>
        </w:rPr>
        <w:t xml:space="preserve">is critical </w:t>
      </w:r>
      <w:r w:rsidR="000201FE">
        <w:rPr>
          <w:rFonts w:ascii="Times New Roman" w:hAnsi="Times New Roman" w:cs="Times New Roman"/>
        </w:rPr>
        <w:t>sequel to the hand-to-mouth behaviours in children</w:t>
      </w:r>
      <w:r w:rsidR="000201FE" w:rsidRPr="00D41867">
        <w:rPr>
          <w:rFonts w:ascii="Times New Roman" w:hAnsi="Times New Roman" w:cs="Times New Roman"/>
        </w:rPr>
        <w:t xml:space="preserve">. </w:t>
      </w:r>
      <w:r w:rsidR="00B522C5">
        <w:rPr>
          <w:rFonts w:ascii="Times New Roman" w:hAnsi="Times New Roman" w:cs="Times New Roman"/>
        </w:rPr>
        <w:t>Most of the</w:t>
      </w:r>
      <w:r w:rsidR="0023581B">
        <w:rPr>
          <w:rFonts w:ascii="Times New Roman" w:hAnsi="Times New Roman" w:cs="Times New Roman"/>
        </w:rPr>
        <w:t xml:space="preserve"> </w:t>
      </w:r>
      <w:r w:rsidR="00B522C5">
        <w:rPr>
          <w:rFonts w:ascii="Times New Roman" w:hAnsi="Times New Roman" w:cs="Times New Roman"/>
        </w:rPr>
        <w:t>research</w:t>
      </w:r>
      <w:r w:rsidR="0023581B">
        <w:rPr>
          <w:rFonts w:ascii="Times New Roman" w:hAnsi="Times New Roman" w:cs="Times New Roman"/>
        </w:rPr>
        <w:t xml:space="preserve"> focused </w:t>
      </w:r>
      <w:r w:rsidR="000201FE" w:rsidRPr="00D41867">
        <w:rPr>
          <w:rFonts w:ascii="Times New Roman" w:hAnsi="Times New Roman" w:cs="Times New Roman"/>
        </w:rPr>
        <w:t xml:space="preserve">on PAHs and NPAHs </w:t>
      </w:r>
      <w:r w:rsidR="0023581B">
        <w:rPr>
          <w:rFonts w:ascii="Times New Roman" w:hAnsi="Times New Roman" w:cs="Times New Roman"/>
        </w:rPr>
        <w:t xml:space="preserve">bioaccessibility </w:t>
      </w:r>
      <w:r w:rsidR="000201FE" w:rsidRPr="00D41867">
        <w:rPr>
          <w:rFonts w:ascii="Times New Roman" w:hAnsi="Times New Roman" w:cs="Times New Roman"/>
        </w:rPr>
        <w:t xml:space="preserve">exclusively without </w:t>
      </w:r>
      <w:r w:rsidR="00B522C5">
        <w:rPr>
          <w:rFonts w:ascii="Times New Roman" w:hAnsi="Times New Roman" w:cs="Times New Roman"/>
        </w:rPr>
        <w:t>considering</w:t>
      </w:r>
      <w:r w:rsidR="0023581B">
        <w:rPr>
          <w:rFonts w:ascii="Times New Roman" w:hAnsi="Times New Roman" w:cs="Times New Roman"/>
        </w:rPr>
        <w:t xml:space="preserve"> the </w:t>
      </w:r>
      <w:r w:rsidR="000201FE" w:rsidRPr="00D41867">
        <w:rPr>
          <w:rFonts w:ascii="Times New Roman" w:hAnsi="Times New Roman" w:cs="Times New Roman"/>
        </w:rPr>
        <w:t xml:space="preserve">potential biological </w:t>
      </w:r>
      <w:r w:rsidR="0023581B">
        <w:rPr>
          <w:rFonts w:ascii="Times New Roman" w:hAnsi="Times New Roman" w:cs="Times New Roman"/>
        </w:rPr>
        <w:t>effects</w:t>
      </w:r>
      <w:r w:rsidR="000201FE" w:rsidRPr="00D41867">
        <w:rPr>
          <w:rFonts w:ascii="Times New Roman" w:hAnsi="Times New Roman" w:cs="Times New Roman"/>
        </w:rPr>
        <w:t>. Th</w:t>
      </w:r>
      <w:r w:rsidR="0023581B">
        <w:rPr>
          <w:rFonts w:ascii="Times New Roman" w:hAnsi="Times New Roman" w:cs="Times New Roman"/>
        </w:rPr>
        <w:t>is study evaluated the</w:t>
      </w:r>
      <w:r w:rsidR="000201FE" w:rsidRPr="00D41867">
        <w:rPr>
          <w:rFonts w:ascii="Times New Roman" w:hAnsi="Times New Roman" w:cs="Times New Roman"/>
        </w:rPr>
        <w:t xml:space="preserve"> bioaccessibility</w:t>
      </w:r>
      <w:r w:rsidR="000201FE">
        <w:rPr>
          <w:rFonts w:ascii="Times New Roman" w:hAnsi="Times New Roman" w:cs="Times New Roman"/>
        </w:rPr>
        <w:t xml:space="preserve"> </w:t>
      </w:r>
      <w:r w:rsidR="000201FE" w:rsidRPr="00D41867">
        <w:rPr>
          <w:rFonts w:ascii="Times New Roman" w:hAnsi="Times New Roman" w:cs="Times New Roman"/>
        </w:rPr>
        <w:t xml:space="preserve">of benzo[a]pyrene and phenazine, as well as specific </w:t>
      </w:r>
      <w:r w:rsidR="0023581B">
        <w:rPr>
          <w:rFonts w:ascii="Times New Roman" w:hAnsi="Times New Roman" w:cs="Times New Roman"/>
        </w:rPr>
        <w:t xml:space="preserve">biological effects </w:t>
      </w:r>
      <w:r w:rsidR="008D7CA9">
        <w:rPr>
          <w:rFonts w:ascii="Times New Roman" w:hAnsi="Times New Roman" w:cs="Times New Roman"/>
        </w:rPr>
        <w:t xml:space="preserve">on </w:t>
      </w:r>
      <w:r w:rsidR="0023581B">
        <w:rPr>
          <w:rFonts w:ascii="Times New Roman" w:hAnsi="Times New Roman" w:cs="Times New Roman"/>
        </w:rPr>
        <w:t>modelled</w:t>
      </w:r>
      <w:r w:rsidR="000201FE" w:rsidRPr="00D41867">
        <w:rPr>
          <w:rFonts w:ascii="Times New Roman" w:hAnsi="Times New Roman" w:cs="Times New Roman"/>
        </w:rPr>
        <w:t xml:space="preserve"> enteric cells following </w:t>
      </w:r>
      <w:r w:rsidR="0023581B" w:rsidRPr="0023581B">
        <w:rPr>
          <w:rFonts w:ascii="Times New Roman" w:hAnsi="Times New Roman" w:cs="Times New Roman"/>
          <w:i/>
          <w:iCs/>
        </w:rPr>
        <w:t>in vitro</w:t>
      </w:r>
      <w:r w:rsidR="0023581B">
        <w:rPr>
          <w:rFonts w:ascii="Times New Roman" w:hAnsi="Times New Roman" w:cs="Times New Roman"/>
        </w:rPr>
        <w:t xml:space="preserve"> </w:t>
      </w:r>
      <w:r w:rsidR="000201FE" w:rsidRPr="00D41867">
        <w:rPr>
          <w:rFonts w:ascii="Times New Roman" w:hAnsi="Times New Roman" w:cs="Times New Roman"/>
        </w:rPr>
        <w:t>sequential human digestion of amended soil</w:t>
      </w:r>
      <w:r w:rsidR="0023581B">
        <w:rPr>
          <w:rFonts w:ascii="Times New Roman" w:hAnsi="Times New Roman" w:cs="Times New Roman"/>
        </w:rPr>
        <w:t>.</w:t>
      </w:r>
      <w:r w:rsidR="000201FE" w:rsidRPr="00D41867">
        <w:rPr>
          <w:rFonts w:ascii="Times New Roman" w:hAnsi="Times New Roman" w:cs="Times New Roman"/>
        </w:rPr>
        <w:t xml:space="preserve"> The </w:t>
      </w:r>
      <w:r w:rsidR="00B522C5">
        <w:rPr>
          <w:rFonts w:ascii="Times New Roman" w:hAnsi="Times New Roman" w:cs="Times New Roman"/>
        </w:rPr>
        <w:t>biological effects</w:t>
      </w:r>
      <w:r w:rsidR="000201FE" w:rsidRPr="00D41867">
        <w:rPr>
          <w:rFonts w:ascii="Times New Roman" w:hAnsi="Times New Roman" w:cs="Times New Roman"/>
        </w:rPr>
        <w:t xml:space="preserve"> </w:t>
      </w:r>
      <w:r w:rsidR="008D7CA9">
        <w:rPr>
          <w:rFonts w:ascii="Times New Roman" w:hAnsi="Times New Roman" w:cs="Times New Roman"/>
        </w:rPr>
        <w:t xml:space="preserve">screened </w:t>
      </w:r>
      <w:r w:rsidR="000201FE" w:rsidRPr="00D41867">
        <w:rPr>
          <w:rFonts w:ascii="Times New Roman" w:hAnsi="Times New Roman" w:cs="Times New Roman"/>
        </w:rPr>
        <w:t xml:space="preserve">include cell viability (as shown by the MTT experiment on Caco-2 cells) and mutagenicity (via Ames </w:t>
      </w:r>
      <w:r w:rsidR="000201FE" w:rsidRPr="00D41867">
        <w:rPr>
          <w:rFonts w:ascii="Times New Roman" w:hAnsi="Times New Roman" w:cs="Times New Roman"/>
          <w:i/>
          <w:iCs/>
        </w:rPr>
        <w:t>Salmonella</w:t>
      </w:r>
      <w:r w:rsidR="000201FE" w:rsidRPr="00D41867">
        <w:rPr>
          <w:rFonts w:ascii="Times New Roman" w:hAnsi="Times New Roman" w:cs="Times New Roman"/>
        </w:rPr>
        <w:t xml:space="preserve"> assay and Comet assay using the Caco-2 cells). The soil was </w:t>
      </w:r>
      <w:r w:rsidR="000201FE">
        <w:rPr>
          <w:rFonts w:ascii="Times New Roman" w:hAnsi="Times New Roman" w:cs="Times New Roman"/>
        </w:rPr>
        <w:t>amended</w:t>
      </w:r>
      <w:r w:rsidR="000201FE" w:rsidRPr="00D41867">
        <w:rPr>
          <w:rFonts w:ascii="Times New Roman" w:hAnsi="Times New Roman" w:cs="Times New Roman"/>
        </w:rPr>
        <w:t xml:space="preserve"> with benzo[a]pyrene (a PAH)/phenazine (NPAH) at 10, 100, and 300 mg/kg, respectively. Benzo[a]pyrene and phenazine had bioaccessibility values of 1.45 ± 0.01 and 26.33 ± 3.54 </w:t>
      </w:r>
      <w:r w:rsidR="000201FE">
        <w:rPr>
          <w:rFonts w:ascii="Times New Roman" w:hAnsi="Times New Roman" w:cs="Times New Roman"/>
        </w:rPr>
        <w:t>%</w:t>
      </w:r>
      <w:r w:rsidR="000201FE" w:rsidRPr="00D41867">
        <w:rPr>
          <w:rFonts w:ascii="Times New Roman" w:hAnsi="Times New Roman" w:cs="Times New Roman"/>
        </w:rPr>
        <w:t xml:space="preserve"> (</w:t>
      </w:r>
      <w:r w:rsidR="000201FE" w:rsidRPr="00EC5874">
        <w:rPr>
          <w:rFonts w:ascii="Times New Roman" w:hAnsi="Times New Roman" w:cs="Times New Roman"/>
          <w:vertAlign w:val="superscript"/>
        </w:rPr>
        <w:t>w</w:t>
      </w:r>
      <w:r w:rsidR="000201FE" w:rsidRPr="00D41867">
        <w:rPr>
          <w:rFonts w:ascii="Times New Roman" w:hAnsi="Times New Roman" w:cs="Times New Roman"/>
        </w:rPr>
        <w:t>/</w:t>
      </w:r>
      <w:r w:rsidR="000201FE" w:rsidRPr="00EC5874">
        <w:rPr>
          <w:rFonts w:ascii="Times New Roman" w:hAnsi="Times New Roman" w:cs="Times New Roman"/>
          <w:vertAlign w:val="subscript"/>
        </w:rPr>
        <w:t>w</w:t>
      </w:r>
      <w:r w:rsidR="000201FE" w:rsidRPr="00D41867">
        <w:rPr>
          <w:rFonts w:ascii="Times New Roman" w:hAnsi="Times New Roman" w:cs="Times New Roman"/>
        </w:rPr>
        <w:t xml:space="preserve">), respectively. Phenazine was more bioaccessible than benzo[a]pyrene due to their difference in </w:t>
      </w:r>
      <w:r w:rsidR="00B522C5" w:rsidRPr="00D41867">
        <w:rPr>
          <w:rFonts w:ascii="Times New Roman" w:hAnsi="Times New Roman" w:cs="Times New Roman"/>
        </w:rPr>
        <w:t>hydrophobicity</w:t>
      </w:r>
      <w:r w:rsidR="000201FE" w:rsidRPr="00D41867">
        <w:rPr>
          <w:rFonts w:ascii="Times New Roman" w:hAnsi="Times New Roman" w:cs="Times New Roman"/>
        </w:rPr>
        <w:t xml:space="preserve"> and insolubility. In the presence and absence of S9 mix, bioaccessible benzo[a]pyrene and phenazine produced frameshift mutations (in </w:t>
      </w:r>
      <w:r w:rsidR="000201FE" w:rsidRPr="00D41867">
        <w:rPr>
          <w:rFonts w:ascii="Times New Roman" w:hAnsi="Times New Roman" w:cs="Times New Roman"/>
          <w:i/>
          <w:iCs/>
        </w:rPr>
        <w:t>S. typhimurium</w:t>
      </w:r>
      <w:r w:rsidR="000201FE" w:rsidRPr="00D41867">
        <w:rPr>
          <w:rFonts w:ascii="Times New Roman" w:hAnsi="Times New Roman" w:cs="Times New Roman"/>
        </w:rPr>
        <w:t xml:space="preserve"> TA98) and bases-pair mutations (in </w:t>
      </w:r>
      <w:r w:rsidR="000201FE" w:rsidRPr="00D41867">
        <w:rPr>
          <w:rFonts w:ascii="Times New Roman" w:hAnsi="Times New Roman" w:cs="Times New Roman"/>
          <w:i/>
          <w:iCs/>
        </w:rPr>
        <w:t>S. typhimurium</w:t>
      </w:r>
      <w:r w:rsidR="000201FE" w:rsidRPr="00D41867">
        <w:rPr>
          <w:rFonts w:ascii="Times New Roman" w:hAnsi="Times New Roman" w:cs="Times New Roman"/>
        </w:rPr>
        <w:t xml:space="preserve"> TA100). Similarly, in the presence and absence of S9 mix, bioaccessible </w:t>
      </w:r>
    </w:p>
    <w:p w14:paraId="10529199" w14:textId="77777777" w:rsidR="00372775" w:rsidRDefault="00372775" w:rsidP="00372775">
      <w:pPr>
        <w:spacing w:line="360" w:lineRule="auto"/>
        <w:jc w:val="both"/>
        <w:rPr>
          <w:rFonts w:ascii="Times New Roman" w:hAnsi="Times New Roman" w:cs="Times New Roman"/>
        </w:rPr>
      </w:pPr>
    </w:p>
    <w:p w14:paraId="23A86512" w14:textId="2E9E7746" w:rsidR="000201FE" w:rsidRDefault="000201FE" w:rsidP="00372775">
      <w:pPr>
        <w:spacing w:line="360" w:lineRule="auto"/>
        <w:jc w:val="both"/>
        <w:rPr>
          <w:rFonts w:ascii="Times New Roman" w:hAnsi="Times New Roman" w:cs="Times New Roman"/>
        </w:rPr>
      </w:pPr>
      <w:r w:rsidRPr="00D41867">
        <w:rPr>
          <w:rFonts w:ascii="Times New Roman" w:hAnsi="Times New Roman" w:cs="Times New Roman"/>
        </w:rPr>
        <w:t>benzo[a]pyrene and phenazine induced considerable (</w:t>
      </w:r>
      <w:r w:rsidRPr="00D41867">
        <w:rPr>
          <w:rFonts w:ascii="Times New Roman" w:hAnsi="Times New Roman" w:cs="Times New Roman"/>
          <w:i/>
          <w:iCs/>
        </w:rPr>
        <w:t>p &lt; 0.05</w:t>
      </w:r>
      <w:r w:rsidRPr="00D41867">
        <w:rPr>
          <w:rFonts w:ascii="Times New Roman" w:hAnsi="Times New Roman" w:cs="Times New Roman"/>
        </w:rPr>
        <w:t xml:space="preserve">) DNA damage without affecting the </w:t>
      </w:r>
      <w:r w:rsidR="008D7CA9">
        <w:rPr>
          <w:rFonts w:ascii="Times New Roman" w:hAnsi="Times New Roman" w:cs="Times New Roman"/>
        </w:rPr>
        <w:t>viability</w:t>
      </w:r>
      <w:r w:rsidRPr="00D41867">
        <w:rPr>
          <w:rFonts w:ascii="Times New Roman" w:hAnsi="Times New Roman" w:cs="Times New Roman"/>
        </w:rPr>
        <w:t xml:space="preserve"> of Caco-2 cells. These findings emphasise the critical importance of biological effects </w:t>
      </w:r>
      <w:r w:rsidR="00557037">
        <w:rPr>
          <w:rFonts w:ascii="Times New Roman" w:hAnsi="Times New Roman" w:cs="Times New Roman"/>
        </w:rPr>
        <w:t xml:space="preserve">parallel </w:t>
      </w:r>
      <w:r w:rsidRPr="00D41867">
        <w:rPr>
          <w:rFonts w:ascii="Times New Roman" w:hAnsi="Times New Roman" w:cs="Times New Roman"/>
        </w:rPr>
        <w:t>chemical characteristics when assessing the risk of exposure to benzo[a]pyrene and phenazine, due to the po</w:t>
      </w:r>
      <w:r w:rsidR="00557037">
        <w:rPr>
          <w:rFonts w:ascii="Times New Roman" w:hAnsi="Times New Roman" w:cs="Times New Roman"/>
        </w:rPr>
        <w:t>tential</w:t>
      </w:r>
      <w:r w:rsidRPr="00D41867">
        <w:rPr>
          <w:rFonts w:ascii="Times New Roman" w:hAnsi="Times New Roman" w:cs="Times New Roman"/>
        </w:rPr>
        <w:t xml:space="preserve"> of causing mutation, a biological process </w:t>
      </w:r>
      <w:r w:rsidR="00B522C5">
        <w:rPr>
          <w:rFonts w:ascii="Times New Roman" w:hAnsi="Times New Roman" w:cs="Times New Roman"/>
        </w:rPr>
        <w:t>necessary</w:t>
      </w:r>
      <w:r w:rsidRPr="00D41867">
        <w:rPr>
          <w:rFonts w:ascii="Times New Roman" w:hAnsi="Times New Roman" w:cs="Times New Roman"/>
        </w:rPr>
        <w:t xml:space="preserve"> for the occurrence of numerous physiological changes in living systems.</w:t>
      </w:r>
    </w:p>
    <w:p w14:paraId="707E3773" w14:textId="7AF962F4" w:rsidR="00B522C5" w:rsidRPr="00372775" w:rsidRDefault="00B522C5" w:rsidP="0037277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372775">
        <w:rPr>
          <w:rFonts w:ascii="Times New Roman" w:hAnsi="Times New Roman" w:cs="Times New Roman"/>
          <w:b/>
          <w:bCs/>
        </w:rPr>
        <w:t>Image</w:t>
      </w:r>
    </w:p>
    <w:p w14:paraId="47EC714C" w14:textId="7F5FCF12" w:rsidR="00B522C5" w:rsidRPr="00D41867" w:rsidRDefault="00372775" w:rsidP="003727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FF2C1D8" wp14:editId="6E34E75C">
            <wp:extent cx="2968807" cy="3112765"/>
            <wp:effectExtent l="0" t="0" r="3175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601" cy="3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E80C2" w14:textId="422DE95C" w:rsidR="00B40914" w:rsidRDefault="00302B4F" w:rsidP="00372775">
      <w:pPr>
        <w:jc w:val="both"/>
        <w:rPr>
          <w:sz w:val="20"/>
          <w:szCs w:val="20"/>
        </w:rPr>
      </w:pPr>
      <w:r w:rsidRPr="00302B4F">
        <w:rPr>
          <w:sz w:val="20"/>
          <w:szCs w:val="20"/>
        </w:rPr>
        <w:t>Fig 1</w:t>
      </w:r>
      <w:r>
        <w:rPr>
          <w:i/>
          <w:iCs/>
          <w:sz w:val="20"/>
          <w:szCs w:val="20"/>
        </w:rPr>
        <w:t xml:space="preserve">. </w:t>
      </w:r>
      <w:r w:rsidR="00372775" w:rsidRPr="00372775">
        <w:rPr>
          <w:i/>
          <w:iCs/>
          <w:sz w:val="20"/>
          <w:szCs w:val="20"/>
        </w:rPr>
        <w:t>In vitro</w:t>
      </w:r>
      <w:r w:rsidR="00372775" w:rsidRPr="00372775">
        <w:rPr>
          <w:sz w:val="20"/>
          <w:szCs w:val="20"/>
        </w:rPr>
        <w:t xml:space="preserve"> sequential human digestion model adopted in determination of bioaccessibility of Benzo[a]pyrene and Phenazine</w:t>
      </w:r>
    </w:p>
    <w:p w14:paraId="4306FE6D" w14:textId="7E5B73EF" w:rsidR="00372775" w:rsidRDefault="00372775" w:rsidP="00372775">
      <w:pPr>
        <w:jc w:val="both"/>
        <w:rPr>
          <w:sz w:val="20"/>
          <w:szCs w:val="20"/>
        </w:rPr>
      </w:pPr>
    </w:p>
    <w:p w14:paraId="157B9DF3" w14:textId="611DABAB" w:rsidR="00372775" w:rsidRPr="005C2A77" w:rsidRDefault="00372775" w:rsidP="003727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2A7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439451C3" w14:textId="2C1171D2" w:rsidR="005C2A77" w:rsidRDefault="005C2A77" w:rsidP="005C2A77">
      <w:pPr>
        <w:pStyle w:val="NormalWeb"/>
        <w:ind w:left="450" w:hanging="450"/>
        <w:rPr>
          <w:color w:val="000000"/>
          <w:sz w:val="22"/>
          <w:szCs w:val="22"/>
        </w:rPr>
      </w:pPr>
      <w:proofErr w:type="spellStart"/>
      <w:r w:rsidRPr="002C3C37">
        <w:rPr>
          <w:sz w:val="22"/>
          <w:szCs w:val="22"/>
        </w:rPr>
        <w:t>Békaert</w:t>
      </w:r>
      <w:proofErr w:type="spellEnd"/>
      <w:r w:rsidRPr="002C3C37">
        <w:rPr>
          <w:sz w:val="22"/>
          <w:szCs w:val="22"/>
        </w:rPr>
        <w:t xml:space="preserve">, C., </w:t>
      </w:r>
      <w:proofErr w:type="spellStart"/>
      <w:r w:rsidRPr="002C3C37">
        <w:rPr>
          <w:sz w:val="22"/>
          <w:szCs w:val="22"/>
        </w:rPr>
        <w:t>Rast</w:t>
      </w:r>
      <w:proofErr w:type="spellEnd"/>
      <w:r w:rsidRPr="002C3C37">
        <w:rPr>
          <w:sz w:val="22"/>
          <w:szCs w:val="22"/>
        </w:rPr>
        <w:t xml:space="preserve">, C., Ferrier, V., </w:t>
      </w:r>
      <w:proofErr w:type="spellStart"/>
      <w:r w:rsidRPr="002C3C37">
        <w:rPr>
          <w:sz w:val="22"/>
          <w:szCs w:val="22"/>
        </w:rPr>
        <w:t>Bispo</w:t>
      </w:r>
      <w:proofErr w:type="spellEnd"/>
      <w:r w:rsidRPr="002C3C37">
        <w:rPr>
          <w:sz w:val="22"/>
          <w:szCs w:val="22"/>
        </w:rPr>
        <w:t xml:space="preserve">, A., Jourdain, M. J., &amp; </w:t>
      </w:r>
      <w:proofErr w:type="spellStart"/>
      <w:r w:rsidRPr="002C3C37">
        <w:rPr>
          <w:sz w:val="22"/>
          <w:szCs w:val="22"/>
        </w:rPr>
        <w:t>Vasseur</w:t>
      </w:r>
      <w:proofErr w:type="spellEnd"/>
      <w:r w:rsidRPr="002C3C37">
        <w:rPr>
          <w:sz w:val="22"/>
          <w:szCs w:val="22"/>
        </w:rPr>
        <w:t xml:space="preserve">, P. (1999). Use of </w:t>
      </w:r>
      <w:r w:rsidRPr="005C2A77">
        <w:rPr>
          <w:i/>
          <w:iCs/>
          <w:sz w:val="22"/>
          <w:szCs w:val="22"/>
        </w:rPr>
        <w:t>in vitro</w:t>
      </w:r>
      <w:r w:rsidRPr="002C3C37">
        <w:rPr>
          <w:sz w:val="22"/>
          <w:szCs w:val="22"/>
        </w:rPr>
        <w:t xml:space="preserve"> (Ames and </w:t>
      </w:r>
      <w:proofErr w:type="spellStart"/>
      <w:r w:rsidRPr="002C3C37">
        <w:rPr>
          <w:sz w:val="22"/>
          <w:szCs w:val="22"/>
        </w:rPr>
        <w:t>Mutatox</w:t>
      </w:r>
      <w:proofErr w:type="spellEnd"/>
      <w:r w:rsidRPr="002C3C37">
        <w:rPr>
          <w:sz w:val="22"/>
          <w:szCs w:val="22"/>
        </w:rPr>
        <w:t xml:space="preserve"> tests) assays to assess the genotoxicity of leachates from contaminated soil. Organic Geochemistry, 30, 953–962</w:t>
      </w:r>
    </w:p>
    <w:p w14:paraId="34DC16C6" w14:textId="3624F9EA" w:rsidR="005C2A77" w:rsidRDefault="005C2A77" w:rsidP="005C2A77">
      <w:pPr>
        <w:pStyle w:val="NormalWeb"/>
        <w:ind w:left="450" w:hanging="4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Calabrese, E. J., Stanek, E. J., </w:t>
      </w:r>
      <w:proofErr w:type="spellStart"/>
      <w:r>
        <w:rPr>
          <w:color w:val="000000"/>
          <w:sz w:val="22"/>
          <w:szCs w:val="22"/>
        </w:rPr>
        <w:t>Pekow</w:t>
      </w:r>
      <w:proofErr w:type="spellEnd"/>
      <w:r>
        <w:rPr>
          <w:color w:val="000000"/>
          <w:sz w:val="22"/>
          <w:szCs w:val="22"/>
        </w:rPr>
        <w:t xml:space="preserve">, P., &amp; Barnes, R. M. (Invalid date). </w:t>
      </w:r>
      <w:r>
        <w:rPr>
          <w:i/>
          <w:iCs/>
          <w:color w:val="000000"/>
          <w:sz w:val="22"/>
          <w:szCs w:val="22"/>
        </w:rPr>
        <w:t>Soil ingestion estimates for children residing on a superfund site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doi:</w:t>
      </w:r>
      <w:hyperlink r:id="rId5" w:tgtFrame="_blank" w:history="1">
        <w:r>
          <w:rPr>
            <w:rStyle w:val="Hyperlink"/>
            <w:sz w:val="22"/>
            <w:szCs w:val="22"/>
          </w:rPr>
          <w:t>https</w:t>
        </w:r>
        <w:proofErr w:type="spellEnd"/>
        <w:r>
          <w:rPr>
            <w:rStyle w:val="Hyperlink"/>
            <w:sz w:val="22"/>
            <w:szCs w:val="22"/>
          </w:rPr>
          <w:t>://doi.org/10.1006/eesa.1996.1511</w:t>
        </w:r>
      </w:hyperlink>
    </w:p>
    <w:p w14:paraId="4D8E171B" w14:textId="1028D827" w:rsidR="005C2A77" w:rsidRPr="00CF0828" w:rsidRDefault="005C2A77" w:rsidP="005C2A77">
      <w:pPr>
        <w:pStyle w:val="NormalWeb"/>
        <w:ind w:left="450" w:hanging="450"/>
        <w:rPr>
          <w:color w:val="000000"/>
          <w:sz w:val="22"/>
          <w:szCs w:val="22"/>
        </w:rPr>
      </w:pPr>
      <w:proofErr w:type="spellStart"/>
      <w:r w:rsidRPr="00CF0828">
        <w:rPr>
          <w:color w:val="212121"/>
          <w:sz w:val="22"/>
          <w:szCs w:val="22"/>
          <w:shd w:val="clear" w:color="auto" w:fill="FFFFFF"/>
        </w:rPr>
        <w:t>Juřica</w:t>
      </w:r>
      <w:proofErr w:type="spellEnd"/>
      <w:r w:rsidRPr="00CF0828">
        <w:rPr>
          <w:color w:val="212121"/>
          <w:sz w:val="22"/>
          <w:szCs w:val="22"/>
          <w:shd w:val="clear" w:color="auto" w:fill="FFFFFF"/>
        </w:rPr>
        <w:t xml:space="preserve">, J., </w:t>
      </w:r>
      <w:proofErr w:type="spellStart"/>
      <w:r w:rsidRPr="00CF0828">
        <w:rPr>
          <w:color w:val="212121"/>
          <w:sz w:val="22"/>
          <w:szCs w:val="22"/>
          <w:shd w:val="clear" w:color="auto" w:fill="FFFFFF"/>
        </w:rPr>
        <w:t>Dovrtělová</w:t>
      </w:r>
      <w:proofErr w:type="spellEnd"/>
      <w:r w:rsidRPr="00CF0828">
        <w:rPr>
          <w:color w:val="212121"/>
          <w:sz w:val="22"/>
          <w:szCs w:val="22"/>
          <w:shd w:val="clear" w:color="auto" w:fill="FFFFFF"/>
        </w:rPr>
        <w:t xml:space="preserve">, G., </w:t>
      </w:r>
      <w:proofErr w:type="spellStart"/>
      <w:r w:rsidRPr="00CF0828">
        <w:rPr>
          <w:color w:val="212121"/>
          <w:sz w:val="22"/>
          <w:szCs w:val="22"/>
          <w:shd w:val="clear" w:color="auto" w:fill="FFFFFF"/>
        </w:rPr>
        <w:t>Nosková</w:t>
      </w:r>
      <w:proofErr w:type="spellEnd"/>
      <w:r w:rsidRPr="00CF0828">
        <w:rPr>
          <w:color w:val="212121"/>
          <w:sz w:val="22"/>
          <w:szCs w:val="22"/>
          <w:shd w:val="clear" w:color="auto" w:fill="FFFFFF"/>
        </w:rPr>
        <w:t xml:space="preserve">, K., &amp; </w:t>
      </w:r>
      <w:proofErr w:type="spellStart"/>
      <w:r w:rsidRPr="00CF0828">
        <w:rPr>
          <w:color w:val="212121"/>
          <w:sz w:val="22"/>
          <w:szCs w:val="22"/>
          <w:shd w:val="clear" w:color="auto" w:fill="FFFFFF"/>
        </w:rPr>
        <w:t>Zendulka</w:t>
      </w:r>
      <w:proofErr w:type="spellEnd"/>
      <w:r w:rsidRPr="00CF0828">
        <w:rPr>
          <w:color w:val="212121"/>
          <w:sz w:val="22"/>
          <w:szCs w:val="22"/>
          <w:shd w:val="clear" w:color="auto" w:fill="FFFFFF"/>
        </w:rPr>
        <w:t xml:space="preserve">, O. (2016). Bile acids, nuclear </w:t>
      </w:r>
      <w:proofErr w:type="gramStart"/>
      <w:r w:rsidRPr="00CF0828">
        <w:rPr>
          <w:color w:val="212121"/>
          <w:sz w:val="22"/>
          <w:szCs w:val="22"/>
          <w:shd w:val="clear" w:color="auto" w:fill="FFFFFF"/>
        </w:rPr>
        <w:t>receptors</w:t>
      </w:r>
      <w:proofErr w:type="gramEnd"/>
      <w:r w:rsidRPr="00CF0828">
        <w:rPr>
          <w:color w:val="212121"/>
          <w:sz w:val="22"/>
          <w:szCs w:val="22"/>
          <w:shd w:val="clear" w:color="auto" w:fill="FFFFFF"/>
        </w:rPr>
        <w:t xml:space="preserve"> and cytochrome P450. </w:t>
      </w:r>
      <w:r w:rsidRPr="00CF0828">
        <w:rPr>
          <w:i/>
          <w:iCs/>
          <w:color w:val="212121"/>
          <w:sz w:val="22"/>
          <w:szCs w:val="22"/>
          <w:shd w:val="clear" w:color="auto" w:fill="FFFFFF"/>
        </w:rPr>
        <w:t>Physiological research</w:t>
      </w:r>
      <w:r w:rsidRPr="00CF0828">
        <w:rPr>
          <w:color w:val="212121"/>
          <w:sz w:val="22"/>
          <w:szCs w:val="22"/>
          <w:shd w:val="clear" w:color="auto" w:fill="FFFFFF"/>
        </w:rPr>
        <w:t>, </w:t>
      </w:r>
      <w:r w:rsidRPr="00CF0828">
        <w:rPr>
          <w:i/>
          <w:iCs/>
          <w:color w:val="212121"/>
          <w:sz w:val="22"/>
          <w:szCs w:val="22"/>
          <w:shd w:val="clear" w:color="auto" w:fill="FFFFFF"/>
        </w:rPr>
        <w:t>65</w:t>
      </w:r>
      <w:r w:rsidRPr="00CF0828">
        <w:rPr>
          <w:color w:val="212121"/>
          <w:sz w:val="22"/>
          <w:szCs w:val="22"/>
          <w:shd w:val="clear" w:color="auto" w:fill="FFFFFF"/>
        </w:rPr>
        <w:t>(</w:t>
      </w:r>
      <w:proofErr w:type="spellStart"/>
      <w:r w:rsidRPr="00CF0828">
        <w:rPr>
          <w:color w:val="212121"/>
          <w:sz w:val="22"/>
          <w:szCs w:val="22"/>
          <w:shd w:val="clear" w:color="auto" w:fill="FFFFFF"/>
        </w:rPr>
        <w:t>Suppl</w:t>
      </w:r>
      <w:proofErr w:type="spellEnd"/>
      <w:r w:rsidRPr="00CF0828">
        <w:rPr>
          <w:color w:val="212121"/>
          <w:sz w:val="22"/>
          <w:szCs w:val="22"/>
          <w:shd w:val="clear" w:color="auto" w:fill="FFFFFF"/>
        </w:rPr>
        <w:t xml:space="preserve"> 4), S427–S440. https://doi.org/10.33549/physiolres.933512</w:t>
      </w:r>
    </w:p>
    <w:p w14:paraId="79041879" w14:textId="2890243C" w:rsidR="005C2A77" w:rsidRDefault="005C2A77" w:rsidP="005C2A77">
      <w:pPr>
        <w:pStyle w:val="NormalWeb"/>
        <w:ind w:left="450" w:hanging="450"/>
        <w:rPr>
          <w:rStyle w:val="Hyperlink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Oomen</w:t>
      </w:r>
      <w:proofErr w:type="spellEnd"/>
      <w:r>
        <w:rPr>
          <w:color w:val="000000"/>
          <w:sz w:val="22"/>
          <w:szCs w:val="22"/>
        </w:rPr>
        <w:t xml:space="preserve">, A. G., </w:t>
      </w:r>
      <w:proofErr w:type="spellStart"/>
      <w:r>
        <w:rPr>
          <w:color w:val="000000"/>
          <w:sz w:val="22"/>
          <w:szCs w:val="22"/>
        </w:rPr>
        <w:t>Rompelberg</w:t>
      </w:r>
      <w:proofErr w:type="spellEnd"/>
      <w:r>
        <w:rPr>
          <w:color w:val="000000"/>
          <w:sz w:val="22"/>
          <w:szCs w:val="22"/>
        </w:rPr>
        <w:t xml:space="preserve">, C. J., Van de Kamp, E., </w:t>
      </w:r>
      <w:proofErr w:type="spellStart"/>
      <w:r>
        <w:rPr>
          <w:color w:val="000000"/>
          <w:sz w:val="22"/>
          <w:szCs w:val="22"/>
        </w:rPr>
        <w:t>Pereboom</w:t>
      </w:r>
      <w:proofErr w:type="spellEnd"/>
      <w:r>
        <w:rPr>
          <w:color w:val="000000"/>
          <w:sz w:val="22"/>
          <w:szCs w:val="22"/>
        </w:rPr>
        <w:t xml:space="preserve">, D. P., De Zwart, L. L., &amp; Sips, A. J. (2004). Effect of bile type on the bioaccessibility of soil contaminants in an in vitro digestion </w:t>
      </w:r>
      <w:proofErr w:type="gramStart"/>
      <w:r>
        <w:rPr>
          <w:color w:val="000000"/>
          <w:sz w:val="22"/>
          <w:szCs w:val="22"/>
        </w:rPr>
        <w:t>model.  .</w:t>
      </w:r>
      <w:proofErr w:type="gramEnd"/>
      <w:r>
        <w:rPr>
          <w:i/>
          <w:iCs/>
          <w:color w:val="000000"/>
          <w:sz w:val="22"/>
          <w:szCs w:val="22"/>
        </w:rPr>
        <w:t xml:space="preserve"> Arch Environ </w:t>
      </w:r>
      <w:proofErr w:type="spellStart"/>
      <w:r>
        <w:rPr>
          <w:i/>
          <w:iCs/>
          <w:color w:val="000000"/>
          <w:sz w:val="22"/>
          <w:szCs w:val="22"/>
        </w:rPr>
        <w:t>Contam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Toxicol</w:t>
      </w:r>
      <w:proofErr w:type="spellEnd"/>
      <w:r>
        <w:rPr>
          <w:i/>
          <w:iCs/>
          <w:color w:val="000000"/>
          <w:sz w:val="22"/>
          <w:szCs w:val="22"/>
        </w:rPr>
        <w:t>., 46</w:t>
      </w:r>
      <w:r>
        <w:rPr>
          <w:color w:val="000000"/>
          <w:sz w:val="22"/>
          <w:szCs w:val="22"/>
        </w:rPr>
        <w:t xml:space="preserve">(2), 183-188. </w:t>
      </w:r>
      <w:proofErr w:type="spellStart"/>
      <w:r>
        <w:rPr>
          <w:color w:val="000000"/>
          <w:sz w:val="22"/>
          <w:szCs w:val="22"/>
        </w:rPr>
        <w:t>doi:</w:t>
      </w:r>
      <w:hyperlink r:id="rId6" w:tgtFrame="_blank" w:history="1">
        <w:r>
          <w:rPr>
            <w:rStyle w:val="Hyperlink"/>
            <w:sz w:val="22"/>
            <w:szCs w:val="22"/>
          </w:rPr>
          <w:t>https</w:t>
        </w:r>
        <w:proofErr w:type="spellEnd"/>
        <w:r>
          <w:rPr>
            <w:rStyle w:val="Hyperlink"/>
            <w:sz w:val="22"/>
            <w:szCs w:val="22"/>
          </w:rPr>
          <w:t>://www.ncbi.nlm.nih.gov/pubmed/15106668</w:t>
        </w:r>
      </w:hyperlink>
    </w:p>
    <w:p w14:paraId="4E9A27A3" w14:textId="77777777" w:rsidR="005C2A77" w:rsidRDefault="005C2A77" w:rsidP="005C2A77">
      <w:pPr>
        <w:pStyle w:val="NormalWeb"/>
        <w:ind w:left="450" w:hanging="450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Umeh</w:t>
      </w:r>
      <w:proofErr w:type="spellEnd"/>
      <w:r>
        <w:rPr>
          <w:color w:val="000000"/>
          <w:sz w:val="22"/>
          <w:szCs w:val="22"/>
        </w:rPr>
        <w:t xml:space="preserve">, A. C., Duan, L., Naidu, R., Esposito, M., &amp; Semple, K. T. (Invalid date). In vitro gastrointestinal mobilization and oral bioaccessibility of PAHs in contrasting soils and associated cancer risks: Focus on PAH </w:t>
      </w:r>
      <w:proofErr w:type="spellStart"/>
      <w:r>
        <w:rPr>
          <w:color w:val="000000"/>
          <w:sz w:val="22"/>
          <w:szCs w:val="22"/>
        </w:rPr>
        <w:t>nonextractable</w:t>
      </w:r>
      <w:proofErr w:type="spellEnd"/>
      <w:r>
        <w:rPr>
          <w:color w:val="000000"/>
          <w:sz w:val="22"/>
          <w:szCs w:val="22"/>
        </w:rPr>
        <w:t xml:space="preserve"> residues.</w:t>
      </w:r>
      <w:r>
        <w:rPr>
          <w:i/>
          <w:iCs/>
          <w:color w:val="000000"/>
          <w:sz w:val="22"/>
          <w:szCs w:val="22"/>
        </w:rPr>
        <w:t xml:space="preserve"> Environment International, 133</w:t>
      </w:r>
      <w:r>
        <w:rPr>
          <w:color w:val="000000"/>
          <w:sz w:val="22"/>
          <w:szCs w:val="22"/>
        </w:rPr>
        <w:t xml:space="preserve">, 105186. </w:t>
      </w:r>
      <w:proofErr w:type="spellStart"/>
      <w:r>
        <w:rPr>
          <w:color w:val="000000"/>
          <w:sz w:val="22"/>
          <w:szCs w:val="22"/>
        </w:rPr>
        <w:t>doi:</w:t>
      </w:r>
      <w:hyperlink r:id="rId7" w:tgtFrame="_blank" w:history="1">
        <w:r>
          <w:rPr>
            <w:rStyle w:val="Hyperlink"/>
            <w:sz w:val="22"/>
            <w:szCs w:val="22"/>
          </w:rPr>
          <w:t>https</w:t>
        </w:r>
        <w:proofErr w:type="spellEnd"/>
        <w:r>
          <w:rPr>
            <w:rStyle w:val="Hyperlink"/>
            <w:sz w:val="22"/>
            <w:szCs w:val="22"/>
          </w:rPr>
          <w:t>://doi.org/10.1016/j.envint.2019.105186</w:t>
        </w:r>
      </w:hyperlink>
    </w:p>
    <w:p w14:paraId="4A4F9DD5" w14:textId="77777777" w:rsidR="00372775" w:rsidRPr="00372775" w:rsidRDefault="00372775" w:rsidP="00372775">
      <w:pPr>
        <w:jc w:val="both"/>
        <w:rPr>
          <w:b/>
          <w:bCs/>
          <w:sz w:val="24"/>
          <w:szCs w:val="24"/>
        </w:rPr>
      </w:pPr>
    </w:p>
    <w:sectPr w:rsidR="00372775" w:rsidRPr="00372775" w:rsidSect="00372775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LQwNTIEYmMTAyChpKMUnFpcnJmfB1JgWAsAQXEqQSwAAAA="/>
  </w:docVars>
  <w:rsids>
    <w:rsidRoot w:val="000201FE"/>
    <w:rsid w:val="000201FE"/>
    <w:rsid w:val="001F241D"/>
    <w:rsid w:val="0023581B"/>
    <w:rsid w:val="00302B4F"/>
    <w:rsid w:val="00372775"/>
    <w:rsid w:val="0038109E"/>
    <w:rsid w:val="003F6BC6"/>
    <w:rsid w:val="00557037"/>
    <w:rsid w:val="005C2A77"/>
    <w:rsid w:val="006C6DF3"/>
    <w:rsid w:val="00734E03"/>
    <w:rsid w:val="00885E66"/>
    <w:rsid w:val="008A7487"/>
    <w:rsid w:val="008C231F"/>
    <w:rsid w:val="008D7CA9"/>
    <w:rsid w:val="00A30BC7"/>
    <w:rsid w:val="00AE5854"/>
    <w:rsid w:val="00B10FEA"/>
    <w:rsid w:val="00B32A2F"/>
    <w:rsid w:val="00B40914"/>
    <w:rsid w:val="00B5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98DD"/>
  <w15:chartTrackingRefBased/>
  <w15:docId w15:val="{6841F450-89C1-4E0A-9B03-1C3286AE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2A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C2A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envint.2019.1051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15106668" TargetMode="External"/><Relationship Id="rId5" Type="http://schemas.openxmlformats.org/officeDocument/2006/relationships/hyperlink" Target="https://doi.org/10.1006/eesa.1996.151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Awulu</dc:creator>
  <cp:keywords/>
  <dc:description/>
  <cp:lastModifiedBy>Emmanuel Awulu</cp:lastModifiedBy>
  <cp:revision>2</cp:revision>
  <dcterms:created xsi:type="dcterms:W3CDTF">2022-02-20T17:36:00Z</dcterms:created>
  <dcterms:modified xsi:type="dcterms:W3CDTF">2022-02-20T21:27:00Z</dcterms:modified>
</cp:coreProperties>
</file>