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96" w:rsidRDefault="00486296" w:rsidP="00486296">
      <w:pPr>
        <w:jc w:val="center"/>
        <w:rPr>
          <w:rFonts w:asciiTheme="majorBidi" w:hAnsiTheme="majorBidi" w:cstheme="majorBidi"/>
          <w:b/>
          <w:sz w:val="24"/>
          <w:szCs w:val="24"/>
          <w:lang w:val="en-GB"/>
        </w:rPr>
      </w:pPr>
      <w:r>
        <w:rPr>
          <w:rFonts w:asciiTheme="majorBidi" w:hAnsiTheme="majorBidi" w:cstheme="majorBidi"/>
          <w:b/>
          <w:sz w:val="24"/>
          <w:szCs w:val="24"/>
          <w:lang w:val="en-GB"/>
        </w:rPr>
        <w:t xml:space="preserve">Synthesis, structural characterization, thermal behaviour and antimicrobial activity of copper, cadmium and zinc </w:t>
      </w:r>
      <w:proofErr w:type="spellStart"/>
      <w:r>
        <w:rPr>
          <w:rFonts w:asciiTheme="majorBidi" w:hAnsiTheme="majorBidi" w:cstheme="majorBidi"/>
          <w:b/>
          <w:sz w:val="24"/>
          <w:szCs w:val="24"/>
          <w:lang w:val="en-GB"/>
        </w:rPr>
        <w:t>chelates</w:t>
      </w:r>
      <w:proofErr w:type="spellEnd"/>
      <w:r>
        <w:rPr>
          <w:rFonts w:asciiTheme="majorBidi" w:hAnsiTheme="majorBidi" w:cstheme="majorBidi"/>
          <w:b/>
          <w:sz w:val="24"/>
          <w:szCs w:val="24"/>
          <w:lang w:val="en-GB"/>
        </w:rPr>
        <w:t xml:space="preserve"> of </w:t>
      </w:r>
      <w:proofErr w:type="spellStart"/>
      <w:r>
        <w:rPr>
          <w:rFonts w:asciiTheme="majorBidi" w:hAnsiTheme="majorBidi" w:cstheme="majorBidi"/>
          <w:b/>
          <w:sz w:val="24"/>
          <w:szCs w:val="24"/>
          <w:lang w:val="en-GB"/>
        </w:rPr>
        <w:t>traizole-thiole</w:t>
      </w:r>
      <w:proofErr w:type="spellEnd"/>
      <w:r>
        <w:rPr>
          <w:rFonts w:asciiTheme="majorBidi" w:hAnsiTheme="majorBidi" w:cstheme="majorBidi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b/>
          <w:sz w:val="24"/>
          <w:szCs w:val="24"/>
          <w:lang w:val="en-GB"/>
        </w:rPr>
        <w:t>ligand</w:t>
      </w:r>
      <w:proofErr w:type="spellEnd"/>
      <w:r>
        <w:rPr>
          <w:rFonts w:asciiTheme="majorBidi" w:hAnsiTheme="majorBidi" w:cstheme="majorBidi"/>
          <w:b/>
          <w:sz w:val="24"/>
          <w:szCs w:val="24"/>
          <w:lang w:val="en-GB"/>
        </w:rPr>
        <w:t xml:space="preserve"> in comparison with theoretical molecular modelling</w:t>
      </w:r>
    </w:p>
    <w:p w:rsidR="00486296" w:rsidRDefault="00486296" w:rsidP="00486296">
      <w:pPr>
        <w:pStyle w:val="RSCB01ARTAbstract"/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Hayam A. Abd El Salam</w:t>
      </w:r>
    </w:p>
    <w:p w:rsidR="00486296" w:rsidRDefault="00486296" w:rsidP="00486296">
      <w:pPr>
        <w:pStyle w:val="RSCB01ARTAbstrac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486296" w:rsidRDefault="00486296" w:rsidP="00486296">
      <w:pPr>
        <w:jc w:val="both"/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This research involved structural and molecular behaviour of the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ligand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HL</w:t>
      </w:r>
      <w:r>
        <w:rPr>
          <w:rFonts w:asciiTheme="majorBidi" w:hAnsiTheme="majorBidi" w:cstheme="majorBidi"/>
          <w:sz w:val="24"/>
          <w:szCs w:val="24"/>
          <w:lang w:val="sq-AL"/>
        </w:rPr>
        <w:t>,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4-amino-5-(2,2-dichloro-1-methylcyclopropyl)-4H-1,2,4-triazole-3-thiol toward the transition metal ions namely Cu (II), Zn (II) and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Cd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(II) had been studied using magnetic, electronic, elemental analyses,  </w:t>
      </w:r>
      <w:r>
        <w:rPr>
          <w:rFonts w:asciiTheme="majorBidi" w:hAnsiTheme="majorBidi" w:cstheme="majorBidi"/>
          <w:sz w:val="24"/>
          <w:szCs w:val="24"/>
          <w:vertAlign w:val="superscript"/>
          <w:lang w:val="en-GB"/>
        </w:rPr>
        <w:t>1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H-NMR, FT- IR and  Thermal analyses (TGA and DTA). The interpretation of practical data obtained had been evaluated and confirmed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by</w:t>
      </w:r>
      <w:r>
        <w:rPr>
          <w:rFonts w:asciiTheme="majorBidi" w:hAnsiTheme="majorBidi" w:cstheme="majorBidi"/>
          <w:bCs/>
          <w:sz w:val="24"/>
          <w:szCs w:val="24"/>
          <w:lang w:val="en-GB"/>
        </w:rPr>
        <w:t>theoretical</w:t>
      </w:r>
      <w:proofErr w:type="spellEnd"/>
      <w:r>
        <w:rPr>
          <w:rFonts w:asciiTheme="majorBidi" w:hAnsiTheme="majorBidi" w:cstheme="majorBidi"/>
          <w:bCs/>
          <w:sz w:val="24"/>
          <w:szCs w:val="24"/>
          <w:lang w:val="en-GB"/>
        </w:rPr>
        <w:t xml:space="preserve"> molecular modelling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. The computations had been done by software of Gaussian 09W package.  The geometries of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traizole-thiole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ligand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and its metal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chelates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were fully optimized using density functional theory B3LYP method. There are no symmetry constrains had been applied during geometry optimization.  (DFT)/GENECP level by implementing Def2TZVP basis set was used for Cu,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Cd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and Zn-atoms; and basis set 6-311++G (d, p) was used for other atoms. The mixed basis set had been selected due to its flexibility. HOMO and LUMO energy values for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chelates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, chemical hardness and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electronegativity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had been calculated. NBO calculations had been done at the same level using (NBO 3.1) program involved in the software of Gaussian 09W for measuring the intra-molecular delocalization in systems under investigation qualitatively. TD-DFT approximation at the same level of theory was used to calculate the electronic absorption spectra of the studied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chelates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. Their structures were confirmed via correlation between experimental and theoretical calculations. The antimicrobial results of the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ligand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and its metal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chelateshad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been </w:t>
      </w:r>
      <w:r>
        <w:rPr>
          <w:rFonts w:asciiTheme="majorBidi" w:hAnsiTheme="majorBidi" w:cstheme="majorBidi"/>
          <w:color w:val="FF0000"/>
          <w:sz w:val="24"/>
          <w:szCs w:val="24"/>
          <w:lang w:val="en-GB"/>
        </w:rPr>
        <w:t xml:space="preserve">recorded </w:t>
      </w:r>
      <w:r>
        <w:rPr>
          <w:rFonts w:asciiTheme="majorBidi" w:hAnsiTheme="majorBidi" w:cstheme="majorBidi"/>
          <w:sz w:val="24"/>
          <w:szCs w:val="24"/>
          <w:lang w:val="en-GB"/>
        </w:rPr>
        <w:t>against two bacteria positive (</w:t>
      </w:r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Escherichia coli)</w:t>
      </w:r>
      <w:r>
        <w:rPr>
          <w:rFonts w:asciiTheme="majorBidi" w:hAnsiTheme="majorBidi" w:cstheme="majorBidi"/>
          <w:sz w:val="24"/>
          <w:szCs w:val="24"/>
          <w:lang w:val="en-GB"/>
        </w:rPr>
        <w:t>and negative(</w:t>
      </w:r>
      <w:r>
        <w:rPr>
          <w:rFonts w:asciiTheme="majorBidi" w:hAnsiTheme="majorBidi" w:cstheme="majorBidi"/>
          <w:i/>
          <w:iCs/>
          <w:sz w:val="24"/>
          <w:szCs w:val="24"/>
          <w:lang w:val="en-GB"/>
        </w:rPr>
        <w:t>Staphylococcusaurous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)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and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two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fungus (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GB"/>
        </w:rPr>
        <w:t>Aspergillusflavus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and 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GB"/>
        </w:rPr>
        <w:t xml:space="preserve">Candida </w:t>
      </w:r>
      <w:proofErr w:type="spellStart"/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GB"/>
        </w:rPr>
        <w:t>albicans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).</w:t>
      </w:r>
    </w:p>
    <w:p w:rsidR="00486296" w:rsidRDefault="00486296" w:rsidP="00486296">
      <w:pPr>
        <w:bidi w:val="0"/>
        <w:jc w:val="both"/>
        <w:rPr>
          <w:lang w:val="en-GB" w:bidi="ar-EG"/>
        </w:rPr>
      </w:pPr>
    </w:p>
    <w:p w:rsidR="00660F34" w:rsidRPr="00486296" w:rsidRDefault="00660F34" w:rsidP="00486296">
      <w:pPr>
        <w:bidi w:val="0"/>
        <w:rPr>
          <w:rFonts w:hint="cs"/>
          <w:lang w:val="en-GB" w:bidi="ar-EG"/>
        </w:rPr>
      </w:pPr>
    </w:p>
    <w:sectPr w:rsidR="00660F34" w:rsidRPr="004862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>
    <w:useFELayout/>
  </w:compat>
  <w:rsids>
    <w:rsidRoot w:val="00486296"/>
    <w:rsid w:val="00486296"/>
    <w:rsid w:val="00660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SCB01ARTAbstractChar">
    <w:name w:val="RSC B01 ART Abstract Char"/>
    <w:basedOn w:val="DefaultParagraphFont"/>
    <w:link w:val="RSCB01ARTAbstract"/>
    <w:locked/>
    <w:rsid w:val="00486296"/>
    <w:rPr>
      <w:rFonts w:ascii="Calibri" w:eastAsiaTheme="minorHAnsi" w:hAnsi="Calibri" w:cs="Calibri"/>
      <w:noProof/>
      <w:sz w:val="16"/>
      <w:lang w:val="en-GB" w:eastAsia="en-GB"/>
    </w:rPr>
  </w:style>
  <w:style w:type="paragraph" w:customStyle="1" w:styleId="RSCB01ARTAbstract">
    <w:name w:val="RSC B01 ART Abstract"/>
    <w:basedOn w:val="Normal"/>
    <w:link w:val="RSCB01ARTAbstractChar"/>
    <w:qFormat/>
    <w:rsid w:val="00486296"/>
    <w:pPr>
      <w:bidi w:val="0"/>
      <w:spacing w:line="240" w:lineRule="exact"/>
      <w:jc w:val="both"/>
    </w:pPr>
    <w:rPr>
      <w:rFonts w:ascii="Calibri" w:eastAsiaTheme="minorHAnsi" w:hAnsi="Calibri" w:cs="Calibri"/>
      <w:noProof/>
      <w:sz w:val="16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0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1639</Characters>
  <Application>Microsoft Office Word</Application>
  <DocSecurity>0</DocSecurity>
  <Lines>13</Lines>
  <Paragraphs>3</Paragraphs>
  <ScaleCrop>false</ScaleCrop>
  <Company>Grizli777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dcterms:created xsi:type="dcterms:W3CDTF">2019-03-07T11:38:00Z</dcterms:created>
  <dcterms:modified xsi:type="dcterms:W3CDTF">2019-03-07T11:39:00Z</dcterms:modified>
</cp:coreProperties>
</file>