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73A" w:rsidRDefault="0072473A" w:rsidP="0072473A">
      <w:pPr>
        <w:rPr>
          <w:rFonts w:eastAsia="MS PGothic"/>
          <w:b/>
          <w:color w:val="000000"/>
          <w:sz w:val="28"/>
          <w:szCs w:val="28"/>
        </w:rPr>
      </w:pPr>
      <w:r>
        <w:rPr>
          <w:noProof/>
          <w:lang w:val="en-AU" w:eastAsia="en-AU"/>
        </w:rPr>
        <w:drawing>
          <wp:anchor distT="0" distB="0" distL="114300" distR="114300" simplePos="0" relativeHeight="251658240" behindDoc="0" locked="0" layoutInCell="1" allowOverlap="1" wp14:anchorId="0507B1C9" wp14:editId="133C165B">
            <wp:simplePos x="0" y="0"/>
            <wp:positionH relativeFrom="column">
              <wp:posOffset>4953000</wp:posOffset>
            </wp:positionH>
            <wp:positionV relativeFrom="paragraph">
              <wp:posOffset>-540385</wp:posOffset>
            </wp:positionV>
            <wp:extent cx="1114425" cy="1425575"/>
            <wp:effectExtent l="0" t="0" r="9525" b="3175"/>
            <wp:wrapSquare wrapText="bothSides"/>
            <wp:docPr id="1" name="Picture 1" descr="Image result for flinder medical cent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linder medical centre logo"/>
                    <pic:cNvPicPr>
                      <a:picLocks noChangeAspect="1" noChangeArrowheads="1"/>
                    </pic:cNvPicPr>
                  </pic:nvPicPr>
                  <pic:blipFill rotWithShape="1">
                    <a:blip r:embed="rId6">
                      <a:extLst>
                        <a:ext uri="{28A0092B-C50C-407E-A947-70E740481C1C}">
                          <a14:useLocalDpi xmlns:a14="http://schemas.microsoft.com/office/drawing/2010/main" val="0"/>
                        </a:ext>
                      </a:extLst>
                    </a:blip>
                    <a:srcRect l="22106" t="6747" r="19474" b="19551"/>
                    <a:stretch/>
                  </pic:blipFill>
                  <pic:spPr bwMode="auto">
                    <a:xfrm>
                      <a:off x="0" y="0"/>
                      <a:ext cx="1114425" cy="142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2473A" w:rsidRDefault="0072473A" w:rsidP="0072473A">
      <w:pPr>
        <w:rPr>
          <w:rFonts w:eastAsia="MS PGothic"/>
          <w:b/>
          <w:color w:val="000000"/>
          <w:sz w:val="28"/>
          <w:szCs w:val="28"/>
        </w:rPr>
      </w:pPr>
      <w:r>
        <w:rPr>
          <w:rFonts w:eastAsia="MS PGothic"/>
          <w:b/>
          <w:color w:val="000000"/>
          <w:sz w:val="28"/>
          <w:szCs w:val="28"/>
        </w:rPr>
        <w:t xml:space="preserve">Title: </w:t>
      </w:r>
      <w:r w:rsidRPr="0072473A">
        <w:rPr>
          <w:rFonts w:eastAsia="MS PGothic"/>
          <w:b/>
          <w:color w:val="000000"/>
          <w:sz w:val="28"/>
          <w:szCs w:val="28"/>
        </w:rPr>
        <w:t>Epistaxis in patients on oral anticoagulants and antiplatelets: A growing trend</w:t>
      </w:r>
    </w:p>
    <w:p w:rsidR="0072473A" w:rsidRPr="0072473A" w:rsidRDefault="0072473A" w:rsidP="0072473A">
      <w:pPr>
        <w:rPr>
          <w:rFonts w:eastAsia="MS PGothic"/>
          <w:color w:val="000000"/>
          <w:szCs w:val="28"/>
        </w:rPr>
      </w:pPr>
      <w:r w:rsidRPr="0072473A">
        <w:rPr>
          <w:rFonts w:eastAsia="MS PGothic"/>
          <w:color w:val="000000"/>
          <w:szCs w:val="28"/>
        </w:rPr>
        <w:t>Dr Grace Maina,  Fl</w:t>
      </w:r>
      <w:r>
        <w:rPr>
          <w:rFonts w:eastAsia="MS PGothic"/>
          <w:color w:val="000000"/>
          <w:szCs w:val="28"/>
        </w:rPr>
        <w:t>inders Medical Centre, Australi</w:t>
      </w:r>
      <w:r w:rsidRPr="0072473A">
        <w:rPr>
          <w:rFonts w:eastAsia="MS PGothic"/>
          <w:color w:val="000000"/>
          <w:szCs w:val="28"/>
        </w:rPr>
        <w:t xml:space="preserve">a </w:t>
      </w:r>
    </w:p>
    <w:p w:rsidR="0072473A" w:rsidRPr="0072473A" w:rsidRDefault="0072473A" w:rsidP="0072473A">
      <w:pPr>
        <w:rPr>
          <w:rFonts w:eastAsia="MS PGothic"/>
          <w:color w:val="000000"/>
          <w:szCs w:val="28"/>
        </w:rPr>
      </w:pPr>
      <w:r w:rsidRPr="0072473A">
        <w:rPr>
          <w:rFonts w:eastAsia="MS PGothic"/>
          <w:color w:val="000000"/>
          <w:szCs w:val="28"/>
        </w:rPr>
        <w:t xml:space="preserve">A/Prof Eng Ooi, Flinders Medica Centre, Australia </w:t>
      </w:r>
    </w:p>
    <w:p w:rsidR="0072473A" w:rsidRDefault="0072473A"/>
    <w:p w:rsidR="0072473A" w:rsidRPr="0072473A" w:rsidRDefault="0072473A">
      <w:pPr>
        <w:rPr>
          <w:b/>
        </w:rPr>
      </w:pPr>
      <w:r w:rsidRPr="0072473A">
        <w:rPr>
          <w:b/>
        </w:rPr>
        <w:t xml:space="preserve">Abstract </w:t>
      </w:r>
      <w:bookmarkStart w:id="0" w:name="_GoBack"/>
      <w:bookmarkEnd w:id="0"/>
    </w:p>
    <w:p w:rsidR="0072473A" w:rsidRPr="00B612D1" w:rsidRDefault="0072473A" w:rsidP="0072473A">
      <w:pPr>
        <w:pStyle w:val="NormalWeb"/>
        <w:shd w:val="clear" w:color="auto" w:fill="FFFFFF"/>
        <w:spacing w:line="276" w:lineRule="auto"/>
        <w:rPr>
          <w:color w:val="212121"/>
          <w:sz w:val="28"/>
          <w:szCs w:val="23"/>
        </w:rPr>
      </w:pPr>
      <w:r w:rsidRPr="00B612D1">
        <w:rPr>
          <w:b/>
          <w:color w:val="212121"/>
          <w:sz w:val="22"/>
          <w:szCs w:val="18"/>
        </w:rPr>
        <w:t>Background</w:t>
      </w:r>
      <w:r w:rsidRPr="00B612D1">
        <w:rPr>
          <w:color w:val="212121"/>
          <w:sz w:val="22"/>
          <w:szCs w:val="18"/>
        </w:rPr>
        <w:t>: Epistaxis is a common clinical problem that is showing increasing incidence amongst elderly patients on antiplatelets and anticoagulants. This retrospective study evaluates the differences in outcomes for patients on warfarin, novel anticoagulants (NOACs) and antiplatelets. </w:t>
      </w:r>
      <w:r w:rsidRPr="00B612D1">
        <w:rPr>
          <w:color w:val="212121"/>
          <w:sz w:val="22"/>
          <w:szCs w:val="18"/>
        </w:rPr>
        <w:br/>
      </w:r>
      <w:r w:rsidRPr="00B612D1">
        <w:rPr>
          <w:color w:val="212121"/>
          <w:sz w:val="22"/>
          <w:szCs w:val="18"/>
        </w:rPr>
        <w:br/>
      </w:r>
      <w:r w:rsidRPr="00B612D1">
        <w:rPr>
          <w:b/>
          <w:color w:val="212121"/>
          <w:sz w:val="22"/>
          <w:szCs w:val="18"/>
        </w:rPr>
        <w:t>Methodology</w:t>
      </w:r>
      <w:r w:rsidRPr="00B612D1">
        <w:rPr>
          <w:color w:val="212121"/>
          <w:sz w:val="22"/>
          <w:szCs w:val="18"/>
        </w:rPr>
        <w:t>: Retrospective data was collected for patients admitted with epistaxis through the Flinders Medical Centre Emergency Department in the first 6 months of 2013, prior to the introduction of NOACs to the Australian Pharmaceuticals Benefit Scheme. This was compared to the same period in 2018, when these medications had been integrated into prescribing practices. Patients included in the study were older than 50 years with spontaneous epistaxis not due to trauma, coagulopathy or post-surgery. </w:t>
      </w:r>
      <w:r w:rsidRPr="00B612D1">
        <w:rPr>
          <w:color w:val="212121"/>
          <w:sz w:val="22"/>
          <w:szCs w:val="18"/>
        </w:rPr>
        <w:br/>
      </w:r>
      <w:r w:rsidRPr="00B612D1">
        <w:rPr>
          <w:color w:val="212121"/>
          <w:sz w:val="22"/>
          <w:szCs w:val="18"/>
        </w:rPr>
        <w:br/>
      </w:r>
      <w:r w:rsidRPr="00B612D1">
        <w:rPr>
          <w:b/>
          <w:color w:val="212121"/>
          <w:sz w:val="22"/>
          <w:szCs w:val="18"/>
        </w:rPr>
        <w:t>Results</w:t>
      </w:r>
      <w:r w:rsidRPr="00B612D1">
        <w:rPr>
          <w:color w:val="212121"/>
          <w:sz w:val="22"/>
          <w:szCs w:val="18"/>
        </w:rPr>
        <w:t>: Over the study periods, data from 112 patients was analysed, 50 in 2013 and 62 in 2018, an overall increase of 24% over this period. Data analysed in 2013 showed that 60% of patients were on warfarin, single or double antiplatelet agents. This is in comparison to 85% in 2018, with NOACs being the most common agent at 25%. This cohort required more aggressive haemostatic measures and 17% had recalcitrant bleeding that required surgical or radiological intervention, compared to only 5% in 2013. Patients in this cohort were noted to have higher rates of vascular disease suggesting a possible pathophysiological association with the increased epistaxis rates. The average length of stay remained unchanged (relative risk 0.85 (0.34-2.10) p= 0.75). </w:t>
      </w:r>
      <w:r w:rsidRPr="00B612D1">
        <w:rPr>
          <w:color w:val="212121"/>
          <w:sz w:val="22"/>
          <w:szCs w:val="18"/>
        </w:rPr>
        <w:br/>
      </w:r>
      <w:r w:rsidRPr="00B612D1">
        <w:rPr>
          <w:color w:val="212121"/>
          <w:sz w:val="22"/>
          <w:szCs w:val="18"/>
        </w:rPr>
        <w:br/>
      </w:r>
      <w:r w:rsidRPr="00B612D1">
        <w:rPr>
          <w:b/>
          <w:color w:val="212121"/>
          <w:sz w:val="22"/>
          <w:szCs w:val="18"/>
        </w:rPr>
        <w:t>Conclusions</w:t>
      </w:r>
      <w:r w:rsidRPr="00B612D1">
        <w:rPr>
          <w:color w:val="212121"/>
          <w:sz w:val="22"/>
          <w:szCs w:val="18"/>
        </w:rPr>
        <w:t>: Epistaxis admissions at our institution have been shown to increase with the introduction of NOACs. This cohort of patients had higher rates of vascular disease and was at greater risk of requiring additional intervention. We anticipate this trend to continue with the aging population and increased use of anticoagulants and antiplatelets. Multi-disciplinary management and proposed updated epistaxis guidelines are recommended</w:t>
      </w:r>
      <w:r>
        <w:rPr>
          <w:color w:val="212121"/>
          <w:sz w:val="22"/>
          <w:szCs w:val="18"/>
        </w:rPr>
        <w:t>.</w:t>
      </w:r>
    </w:p>
    <w:p w:rsidR="0072473A" w:rsidRDefault="0072473A">
      <w:pPr>
        <w:rPr>
          <w:b/>
        </w:rPr>
      </w:pPr>
      <w:r w:rsidRPr="0072473A">
        <w:rPr>
          <w:b/>
        </w:rPr>
        <w:t>Biography</w:t>
      </w:r>
    </w:p>
    <w:p w:rsidR="0072473A" w:rsidRDefault="0072473A">
      <w:pPr>
        <w:rPr>
          <w:b/>
        </w:rPr>
      </w:pPr>
    </w:p>
    <w:p w:rsidR="0072473A" w:rsidRPr="00324539" w:rsidRDefault="0072473A" w:rsidP="0072473A">
      <w:r>
        <w:t xml:space="preserve">Dr. </w:t>
      </w:r>
      <w:r w:rsidRPr="00324539">
        <w:t>Grace Maina is a Resident Medical Officer in the ENT Department at Flinders Medical Centre. She is keen to pursue specialist training in the field of otorhinolaryngology focussing on paediatrics</w:t>
      </w:r>
      <w:r>
        <w:t>,</w:t>
      </w:r>
      <w:r w:rsidRPr="00324539">
        <w:t xml:space="preserve"> with a view to working in disadvantaged communities both in Australia and Internationally.</w:t>
      </w:r>
    </w:p>
    <w:p w:rsidR="0072473A" w:rsidRDefault="0072473A" w:rsidP="0072473A">
      <w:pPr>
        <w:autoSpaceDE w:val="0"/>
        <w:autoSpaceDN w:val="0"/>
        <w:adjustRightInd w:val="0"/>
        <w:rPr>
          <w:b/>
          <w:lang w:val="en-NZ"/>
        </w:rPr>
      </w:pPr>
    </w:p>
    <w:p w:rsidR="0072473A" w:rsidRDefault="0072473A" w:rsidP="0072473A">
      <w:pPr>
        <w:autoSpaceDE w:val="0"/>
        <w:autoSpaceDN w:val="0"/>
        <w:adjustRightInd w:val="0"/>
        <w:rPr>
          <w:sz w:val="20"/>
          <w:lang w:val="en-NZ"/>
        </w:rPr>
      </w:pPr>
      <w:r w:rsidRPr="008A690F">
        <w:rPr>
          <w:b/>
          <w:lang w:val="en-NZ"/>
        </w:rPr>
        <w:t xml:space="preserve">Presenting author details </w:t>
      </w:r>
      <w:r w:rsidRPr="008A690F">
        <w:rPr>
          <w:b/>
          <w:lang w:val="en-NZ"/>
        </w:rPr>
        <w:br/>
      </w:r>
      <w:r w:rsidRPr="001B720E">
        <w:rPr>
          <w:sz w:val="20"/>
          <w:lang w:val="en-NZ"/>
        </w:rPr>
        <w:t>Full name:  Dr</w:t>
      </w:r>
      <w:r>
        <w:rPr>
          <w:sz w:val="20"/>
          <w:lang w:val="en-NZ"/>
        </w:rPr>
        <w:t xml:space="preserve"> Grace </w:t>
      </w:r>
      <w:proofErr w:type="spellStart"/>
      <w:r>
        <w:rPr>
          <w:sz w:val="20"/>
          <w:lang w:val="en-NZ"/>
        </w:rPr>
        <w:t>Maina</w:t>
      </w:r>
      <w:proofErr w:type="spellEnd"/>
    </w:p>
    <w:p w:rsidR="0072473A" w:rsidRPr="001B720E" w:rsidRDefault="0072473A" w:rsidP="0072473A">
      <w:pPr>
        <w:autoSpaceDE w:val="0"/>
        <w:autoSpaceDN w:val="0"/>
        <w:adjustRightInd w:val="0"/>
        <w:rPr>
          <w:sz w:val="20"/>
          <w:lang w:val="en-NZ"/>
        </w:rPr>
      </w:pPr>
      <w:r w:rsidRPr="001B720E">
        <w:rPr>
          <w:sz w:val="20"/>
          <w:lang w:val="en-NZ"/>
        </w:rPr>
        <w:t>Age:</w:t>
      </w:r>
      <w:r>
        <w:rPr>
          <w:sz w:val="20"/>
          <w:lang w:val="en-NZ"/>
        </w:rPr>
        <w:t xml:space="preserve"> 27</w:t>
      </w:r>
      <w:r w:rsidRPr="001B720E">
        <w:rPr>
          <w:sz w:val="20"/>
          <w:lang w:val="en-NZ"/>
        </w:rPr>
        <w:t xml:space="preserve"> </w:t>
      </w:r>
    </w:p>
    <w:p w:rsidR="0072473A" w:rsidRPr="001B720E" w:rsidRDefault="0072473A" w:rsidP="0072473A">
      <w:pPr>
        <w:autoSpaceDE w:val="0"/>
        <w:autoSpaceDN w:val="0"/>
        <w:adjustRightInd w:val="0"/>
        <w:rPr>
          <w:sz w:val="20"/>
          <w:lang w:val="en-NZ"/>
        </w:rPr>
      </w:pPr>
      <w:r w:rsidRPr="001B720E">
        <w:rPr>
          <w:sz w:val="20"/>
          <w:lang w:val="en-NZ"/>
        </w:rPr>
        <w:t>E-mail ID:</w:t>
      </w:r>
      <w:r>
        <w:rPr>
          <w:sz w:val="20"/>
          <w:lang w:val="en-NZ"/>
        </w:rPr>
        <w:t xml:space="preserve"> grace.maina@sa.gov.au</w:t>
      </w:r>
      <w:r w:rsidRPr="001B720E">
        <w:rPr>
          <w:sz w:val="20"/>
          <w:lang w:val="en-NZ"/>
        </w:rPr>
        <w:t xml:space="preserve"> </w:t>
      </w:r>
      <w:r w:rsidRPr="001B720E">
        <w:rPr>
          <w:sz w:val="20"/>
          <w:lang w:val="en-NZ"/>
        </w:rPr>
        <w:br/>
        <w:t>Contact number:</w:t>
      </w:r>
      <w:r>
        <w:rPr>
          <w:sz w:val="20"/>
          <w:lang w:val="en-NZ"/>
        </w:rPr>
        <w:t xml:space="preserve"> +61431055383</w:t>
      </w:r>
      <w:r w:rsidRPr="0072473A">
        <w:t xml:space="preserve"> </w:t>
      </w:r>
    </w:p>
    <w:p w:rsidR="0072473A" w:rsidRPr="001B720E" w:rsidRDefault="0072473A" w:rsidP="0072473A">
      <w:pPr>
        <w:autoSpaceDE w:val="0"/>
        <w:autoSpaceDN w:val="0"/>
        <w:adjustRightInd w:val="0"/>
        <w:rPr>
          <w:sz w:val="20"/>
          <w:lang w:val="en-NZ"/>
        </w:rPr>
      </w:pPr>
      <w:r w:rsidRPr="001B720E">
        <w:rPr>
          <w:sz w:val="20"/>
          <w:lang w:val="en-NZ"/>
        </w:rPr>
        <w:t>Session name/number</w:t>
      </w:r>
      <w:proofErr w:type="gramStart"/>
      <w:r w:rsidRPr="001B720E">
        <w:rPr>
          <w:sz w:val="20"/>
          <w:lang w:val="en-NZ"/>
        </w:rPr>
        <w:t>:</w:t>
      </w:r>
      <w:proofErr w:type="gramEnd"/>
      <w:r w:rsidRPr="001B720E">
        <w:rPr>
          <w:sz w:val="20"/>
          <w:lang w:val="en-NZ"/>
        </w:rPr>
        <w:br/>
        <w:t xml:space="preserve">Category: (Oral presentation/ Poster presentation): </w:t>
      </w:r>
    </w:p>
    <w:p w:rsidR="0072473A" w:rsidRDefault="0072473A"/>
    <w:sectPr w:rsidR="00724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73A"/>
    <w:rsid w:val="0045353B"/>
    <w:rsid w:val="0072473A"/>
    <w:rsid w:val="00CD38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3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473A"/>
    <w:pPr>
      <w:spacing w:before="100" w:beforeAutospacing="1" w:after="100" w:afterAutospacing="1"/>
    </w:pPr>
    <w:rPr>
      <w:lang w:val="en-AU" w:eastAsia="en-AU"/>
    </w:rPr>
  </w:style>
  <w:style w:type="paragraph" w:styleId="BalloonText">
    <w:name w:val="Balloon Text"/>
    <w:basedOn w:val="Normal"/>
    <w:link w:val="BalloonTextChar"/>
    <w:uiPriority w:val="99"/>
    <w:semiHidden/>
    <w:unhideWhenUsed/>
    <w:rsid w:val="0072473A"/>
    <w:rPr>
      <w:rFonts w:ascii="Tahoma" w:hAnsi="Tahoma" w:cs="Tahoma"/>
      <w:sz w:val="16"/>
      <w:szCs w:val="16"/>
    </w:rPr>
  </w:style>
  <w:style w:type="character" w:customStyle="1" w:styleId="BalloonTextChar">
    <w:name w:val="Balloon Text Char"/>
    <w:basedOn w:val="DefaultParagraphFont"/>
    <w:link w:val="BalloonText"/>
    <w:uiPriority w:val="99"/>
    <w:semiHidden/>
    <w:rsid w:val="0072473A"/>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3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473A"/>
    <w:pPr>
      <w:spacing w:before="100" w:beforeAutospacing="1" w:after="100" w:afterAutospacing="1"/>
    </w:pPr>
    <w:rPr>
      <w:lang w:val="en-AU" w:eastAsia="en-AU"/>
    </w:rPr>
  </w:style>
  <w:style w:type="paragraph" w:styleId="BalloonText">
    <w:name w:val="Balloon Text"/>
    <w:basedOn w:val="Normal"/>
    <w:link w:val="BalloonTextChar"/>
    <w:uiPriority w:val="99"/>
    <w:semiHidden/>
    <w:unhideWhenUsed/>
    <w:rsid w:val="0072473A"/>
    <w:rPr>
      <w:rFonts w:ascii="Tahoma" w:hAnsi="Tahoma" w:cs="Tahoma"/>
      <w:sz w:val="16"/>
      <w:szCs w:val="16"/>
    </w:rPr>
  </w:style>
  <w:style w:type="character" w:customStyle="1" w:styleId="BalloonTextChar">
    <w:name w:val="Balloon Text Char"/>
    <w:basedOn w:val="DefaultParagraphFont"/>
    <w:link w:val="BalloonText"/>
    <w:uiPriority w:val="99"/>
    <w:semiHidden/>
    <w:rsid w:val="0072473A"/>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94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AA286-4E7F-4002-804B-53112D1C9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399</Words>
  <Characters>2311</Characters>
  <Application>Microsoft Office Word</Application>
  <DocSecurity>0</DocSecurity>
  <Lines>38</Lines>
  <Paragraphs>7</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 Grace (FMC)</dc:creator>
  <cp:lastModifiedBy>Maina, Grace (FMC)</cp:lastModifiedBy>
  <cp:revision>1</cp:revision>
  <dcterms:created xsi:type="dcterms:W3CDTF">2019-11-29T06:32:00Z</dcterms:created>
  <dcterms:modified xsi:type="dcterms:W3CDTF">2019-11-29T06:40:00Z</dcterms:modified>
</cp:coreProperties>
</file>